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7E6" w:rsidRPr="006127E6" w:rsidRDefault="006127E6" w:rsidP="006127E6">
      <w:pPr>
        <w:rPr>
          <w:lang w:val="en-US"/>
        </w:rPr>
      </w:pPr>
      <w:r w:rsidRPr="006127E6">
        <w:rPr>
          <w:lang w:val="en-US"/>
        </w:rPr>
        <w:t xml:space="preserve">Standard &amp; Poor's Takes Various Rating Actions </w:t>
      </w:r>
      <w:proofErr w:type="gramStart"/>
      <w:r w:rsidRPr="006127E6">
        <w:rPr>
          <w:lang w:val="en-US"/>
        </w:rPr>
        <w:t>On</w:t>
      </w:r>
      <w:proofErr w:type="gramEnd"/>
      <w:r w:rsidRPr="006127E6">
        <w:rPr>
          <w:lang w:val="en-US"/>
        </w:rPr>
        <w:t xml:space="preserve"> 16 Eurozone Sovereign Governments </w:t>
      </w:r>
    </w:p>
    <w:p w:rsidR="006127E6" w:rsidRPr="006127E6" w:rsidRDefault="006127E6" w:rsidP="006127E6">
      <w:pPr>
        <w:rPr>
          <w:lang w:val="en-US"/>
        </w:rPr>
      </w:pPr>
      <w:r w:rsidRPr="006127E6">
        <w:rPr>
          <w:lang w:val="en-US"/>
        </w:rPr>
        <w:t xml:space="preserve">Publication date: 13-Jan-2012 16:36:27 EST  </w:t>
      </w:r>
    </w:p>
    <w:p w:rsidR="006127E6" w:rsidRPr="006127E6" w:rsidRDefault="006127E6" w:rsidP="006127E6">
      <w:pPr>
        <w:rPr>
          <w:lang w:val="en-US"/>
        </w:rPr>
      </w:pPr>
      <w:r w:rsidRPr="006127E6">
        <w:rPr>
          <w:lang w:val="en-US"/>
        </w:rPr>
        <w:t>--------------------------------------------------------------------------------</w:t>
      </w:r>
    </w:p>
    <w:p w:rsidR="006127E6" w:rsidRPr="006127E6" w:rsidRDefault="006127E6" w:rsidP="006127E6">
      <w:pPr>
        <w:rPr>
          <w:lang w:val="en-US"/>
        </w:rPr>
      </w:pPr>
    </w:p>
    <w:p w:rsidR="006127E6" w:rsidRPr="006127E6" w:rsidRDefault="006127E6" w:rsidP="006127E6">
      <w:pPr>
        <w:rPr>
          <w:lang w:val="en-US"/>
        </w:rPr>
      </w:pPr>
      <w:r w:rsidRPr="006127E6">
        <w:rPr>
          <w:lang w:val="en-US"/>
        </w:rPr>
        <w:t xml:space="preserve">•In our view, the policy initiatives taken by European policymakers in </w:t>
      </w:r>
    </w:p>
    <w:p w:rsidR="006127E6" w:rsidRPr="006127E6" w:rsidRDefault="006127E6" w:rsidP="006127E6">
      <w:pPr>
        <w:rPr>
          <w:lang w:val="en-US"/>
        </w:rPr>
      </w:pPr>
      <w:proofErr w:type="gramStart"/>
      <w:r w:rsidRPr="006127E6">
        <w:rPr>
          <w:lang w:val="en-US"/>
        </w:rPr>
        <w:t>recent</w:t>
      </w:r>
      <w:proofErr w:type="gramEnd"/>
      <w:r w:rsidRPr="006127E6">
        <w:rPr>
          <w:lang w:val="en-US"/>
        </w:rPr>
        <w:t xml:space="preserve"> weeks may be insufficient to fully address ongoing systemic </w:t>
      </w:r>
    </w:p>
    <w:p w:rsidR="006127E6" w:rsidRDefault="006127E6" w:rsidP="006127E6">
      <w:pPr>
        <w:rPr>
          <w:lang w:val="en-US"/>
        </w:rPr>
      </w:pPr>
      <w:proofErr w:type="gramStart"/>
      <w:r w:rsidRPr="006127E6">
        <w:rPr>
          <w:lang w:val="en-US"/>
        </w:rPr>
        <w:t>stresses</w:t>
      </w:r>
      <w:proofErr w:type="gramEnd"/>
      <w:r w:rsidRPr="006127E6">
        <w:rPr>
          <w:lang w:val="en-US"/>
        </w:rPr>
        <w:t xml:space="preserve"> in the </w:t>
      </w:r>
      <w:proofErr w:type="spellStart"/>
      <w:r w:rsidRPr="006127E6">
        <w:rPr>
          <w:lang w:val="en-US"/>
        </w:rPr>
        <w:t>eurozone</w:t>
      </w:r>
      <w:proofErr w:type="spellEnd"/>
      <w:r w:rsidRPr="006127E6">
        <w:rPr>
          <w:lang w:val="en-US"/>
        </w:rPr>
        <w:t>.</w:t>
      </w:r>
    </w:p>
    <w:p w:rsidR="006127E6" w:rsidRPr="006127E6" w:rsidRDefault="006127E6" w:rsidP="006127E6">
      <w:pPr>
        <w:rPr>
          <w:lang w:val="en-US"/>
        </w:rPr>
      </w:pPr>
      <w:r w:rsidRPr="006127E6">
        <w:rPr>
          <w:lang w:val="en-US"/>
        </w:rPr>
        <w:t xml:space="preserve">•We are lowering our long-term ratings on nine </w:t>
      </w:r>
      <w:proofErr w:type="spellStart"/>
      <w:r w:rsidRPr="006127E6">
        <w:rPr>
          <w:lang w:val="en-US"/>
        </w:rPr>
        <w:t>eurozone</w:t>
      </w:r>
      <w:proofErr w:type="spellEnd"/>
      <w:r w:rsidRPr="006127E6">
        <w:rPr>
          <w:lang w:val="en-US"/>
        </w:rPr>
        <w:t xml:space="preserve"> sovereigns and </w:t>
      </w:r>
    </w:p>
    <w:p w:rsidR="006127E6" w:rsidRDefault="006127E6" w:rsidP="006127E6">
      <w:pPr>
        <w:rPr>
          <w:lang w:val="en-US"/>
        </w:rPr>
      </w:pPr>
      <w:proofErr w:type="gramStart"/>
      <w:r w:rsidRPr="006127E6">
        <w:rPr>
          <w:lang w:val="en-US"/>
        </w:rPr>
        <w:t>affirming</w:t>
      </w:r>
      <w:proofErr w:type="gramEnd"/>
      <w:r w:rsidRPr="006127E6">
        <w:rPr>
          <w:lang w:val="en-US"/>
        </w:rPr>
        <w:t xml:space="preserve"> the ratings on seven.</w:t>
      </w:r>
    </w:p>
    <w:p w:rsidR="006127E6" w:rsidRPr="006127E6" w:rsidRDefault="006127E6" w:rsidP="006127E6">
      <w:pPr>
        <w:rPr>
          <w:lang w:val="en-US"/>
        </w:rPr>
      </w:pPr>
      <w:r w:rsidRPr="006127E6">
        <w:rPr>
          <w:lang w:val="en-US"/>
        </w:rPr>
        <w:t xml:space="preserve">•The outlooks on our ratings on all but two of the 16 </w:t>
      </w:r>
      <w:proofErr w:type="spellStart"/>
      <w:r w:rsidRPr="006127E6">
        <w:rPr>
          <w:lang w:val="en-US"/>
        </w:rPr>
        <w:t>eurozone</w:t>
      </w:r>
      <w:proofErr w:type="spellEnd"/>
      <w:r w:rsidRPr="006127E6">
        <w:rPr>
          <w:lang w:val="en-US"/>
        </w:rPr>
        <w:t xml:space="preserve"> sovereigns </w:t>
      </w:r>
    </w:p>
    <w:p w:rsidR="006127E6" w:rsidRPr="006127E6" w:rsidRDefault="006127E6" w:rsidP="006127E6">
      <w:pPr>
        <w:rPr>
          <w:lang w:val="en-US"/>
        </w:rPr>
      </w:pPr>
      <w:proofErr w:type="gramStart"/>
      <w:r w:rsidRPr="006127E6">
        <w:rPr>
          <w:lang w:val="en-US"/>
        </w:rPr>
        <w:t>are</w:t>
      </w:r>
      <w:proofErr w:type="gramEnd"/>
      <w:r w:rsidRPr="006127E6">
        <w:rPr>
          <w:lang w:val="en-US"/>
        </w:rPr>
        <w:t xml:space="preserve"> negative. The ratings on all 16 sovereigns have been removed from </w:t>
      </w:r>
    </w:p>
    <w:p w:rsidR="006127E6" w:rsidRPr="006127E6" w:rsidRDefault="006127E6" w:rsidP="006127E6">
      <w:pPr>
        <w:rPr>
          <w:lang w:val="en-US"/>
        </w:rPr>
      </w:pPr>
      <w:r w:rsidRPr="006127E6">
        <w:rPr>
          <w:lang w:val="en-US"/>
        </w:rPr>
        <w:t xml:space="preserve">CreditWatch, where they were placed with negative implications on Dec. 5, </w:t>
      </w:r>
    </w:p>
    <w:p w:rsidR="006127E6" w:rsidRPr="006127E6" w:rsidRDefault="006127E6" w:rsidP="006127E6">
      <w:pPr>
        <w:rPr>
          <w:lang w:val="en-US"/>
        </w:rPr>
      </w:pPr>
      <w:proofErr w:type="gramStart"/>
      <w:r w:rsidRPr="006127E6">
        <w:rPr>
          <w:lang w:val="en-US"/>
        </w:rPr>
        <w:t>2011 (except for Cyprus, which was first placed on CreditWatch on Aug.</w:t>
      </w:r>
      <w:proofErr w:type="gramEnd"/>
      <w:r w:rsidRPr="006127E6">
        <w:rPr>
          <w:lang w:val="en-US"/>
        </w:rPr>
        <w:t xml:space="preserve"> </w:t>
      </w:r>
    </w:p>
    <w:p w:rsidR="006127E6" w:rsidRDefault="006127E6" w:rsidP="006127E6">
      <w:pPr>
        <w:rPr>
          <w:lang w:val="en-US"/>
        </w:rPr>
      </w:pPr>
      <w:proofErr w:type="gramStart"/>
      <w:r w:rsidRPr="006127E6">
        <w:rPr>
          <w:lang w:val="en-US"/>
        </w:rPr>
        <w:t>12, 2011).</w:t>
      </w:r>
      <w:proofErr w:type="gramEnd"/>
    </w:p>
    <w:p w:rsidR="006127E6" w:rsidRPr="006127E6" w:rsidRDefault="006127E6" w:rsidP="006127E6">
      <w:pPr>
        <w:rPr>
          <w:lang w:val="en-US"/>
        </w:rPr>
      </w:pPr>
    </w:p>
    <w:p w:rsidR="006127E6" w:rsidRPr="006127E6" w:rsidRDefault="006127E6" w:rsidP="006127E6">
      <w:pPr>
        <w:rPr>
          <w:lang w:val="en-US"/>
        </w:rPr>
      </w:pPr>
      <w:r w:rsidRPr="006127E6">
        <w:rPr>
          <w:lang w:val="en-US"/>
        </w:rPr>
        <w:t xml:space="preserve">FRANKFURT (Standard &amp; Poor's) Jan. 13, 2012--Standard &amp; Poor's Ratings </w:t>
      </w:r>
    </w:p>
    <w:p w:rsidR="006127E6" w:rsidRPr="006127E6" w:rsidRDefault="006127E6" w:rsidP="006127E6">
      <w:pPr>
        <w:rPr>
          <w:lang w:val="en-US"/>
        </w:rPr>
      </w:pPr>
      <w:r w:rsidRPr="006127E6">
        <w:rPr>
          <w:lang w:val="en-US"/>
        </w:rPr>
        <w:t xml:space="preserve">Services today announced its rating actions on 16 members of the European </w:t>
      </w:r>
    </w:p>
    <w:p w:rsidR="006127E6" w:rsidRPr="006127E6" w:rsidRDefault="006127E6" w:rsidP="006127E6">
      <w:pPr>
        <w:rPr>
          <w:lang w:val="en-US"/>
        </w:rPr>
      </w:pPr>
      <w:r w:rsidRPr="006127E6">
        <w:rPr>
          <w:lang w:val="en-US"/>
        </w:rPr>
        <w:t xml:space="preserve">Economic and Monetary Union (EMU or </w:t>
      </w:r>
      <w:proofErr w:type="spellStart"/>
      <w:r w:rsidRPr="006127E6">
        <w:rPr>
          <w:lang w:val="en-US"/>
        </w:rPr>
        <w:t>eurozone</w:t>
      </w:r>
      <w:proofErr w:type="spellEnd"/>
      <w:r w:rsidRPr="006127E6">
        <w:rPr>
          <w:lang w:val="en-US"/>
        </w:rPr>
        <w:t xml:space="preserve">) following completion of its </w:t>
      </w:r>
    </w:p>
    <w:p w:rsidR="006127E6" w:rsidRPr="006127E6" w:rsidRDefault="006127E6" w:rsidP="006127E6">
      <w:pPr>
        <w:rPr>
          <w:lang w:val="en-US"/>
        </w:rPr>
      </w:pPr>
      <w:proofErr w:type="gramStart"/>
      <w:r w:rsidRPr="006127E6">
        <w:rPr>
          <w:lang w:val="en-US"/>
        </w:rPr>
        <w:t>review</w:t>
      </w:r>
      <w:proofErr w:type="gramEnd"/>
      <w:r w:rsidRPr="006127E6">
        <w:rPr>
          <w:lang w:val="en-US"/>
        </w:rPr>
        <w:t>.</w:t>
      </w:r>
    </w:p>
    <w:p w:rsidR="006127E6" w:rsidRPr="006127E6" w:rsidRDefault="006127E6" w:rsidP="006127E6">
      <w:pPr>
        <w:rPr>
          <w:lang w:val="en-US"/>
        </w:rPr>
      </w:pPr>
    </w:p>
    <w:p w:rsidR="006127E6" w:rsidRPr="006127E6" w:rsidRDefault="006127E6" w:rsidP="006127E6">
      <w:pPr>
        <w:rPr>
          <w:lang w:val="en-US"/>
        </w:rPr>
      </w:pPr>
      <w:r w:rsidRPr="006127E6">
        <w:rPr>
          <w:lang w:val="en-US"/>
        </w:rPr>
        <w:t xml:space="preserve">We have lowered the long-term ratings on Cyprus, Italy, Portugal, and Spain by </w:t>
      </w:r>
    </w:p>
    <w:p w:rsidR="006127E6" w:rsidRPr="006127E6" w:rsidRDefault="006127E6" w:rsidP="006127E6">
      <w:pPr>
        <w:rPr>
          <w:lang w:val="en-US"/>
        </w:rPr>
      </w:pPr>
      <w:proofErr w:type="gramStart"/>
      <w:r w:rsidRPr="006127E6">
        <w:rPr>
          <w:lang w:val="en-US"/>
        </w:rPr>
        <w:t>two</w:t>
      </w:r>
      <w:proofErr w:type="gramEnd"/>
      <w:r w:rsidRPr="006127E6">
        <w:rPr>
          <w:lang w:val="en-US"/>
        </w:rPr>
        <w:t xml:space="preserve"> notches; lowered the long-term ratings on Austria, France, Malta, </w:t>
      </w:r>
    </w:p>
    <w:p w:rsidR="006127E6" w:rsidRPr="006127E6" w:rsidRDefault="006127E6" w:rsidP="006127E6">
      <w:pPr>
        <w:rPr>
          <w:lang w:val="en-US"/>
        </w:rPr>
      </w:pPr>
      <w:r w:rsidRPr="006127E6">
        <w:rPr>
          <w:lang w:val="en-US"/>
        </w:rPr>
        <w:t xml:space="preserve">Slovakia, and Slovenia, by one notch; and affirmed the long-term ratings on </w:t>
      </w:r>
    </w:p>
    <w:p w:rsidR="006127E6" w:rsidRPr="006127E6" w:rsidRDefault="006127E6" w:rsidP="006127E6">
      <w:pPr>
        <w:rPr>
          <w:lang w:val="en-US"/>
        </w:rPr>
      </w:pPr>
      <w:proofErr w:type="gramStart"/>
      <w:r w:rsidRPr="006127E6">
        <w:rPr>
          <w:lang w:val="en-US"/>
        </w:rPr>
        <w:t>Belgium, Estonia, Finland, Germany, Ireland, Luxembourg, and the Netherlands.</w:t>
      </w:r>
      <w:proofErr w:type="gramEnd"/>
      <w:r w:rsidRPr="006127E6">
        <w:rPr>
          <w:lang w:val="en-US"/>
        </w:rPr>
        <w:t xml:space="preserve"> </w:t>
      </w:r>
    </w:p>
    <w:p w:rsidR="006127E6" w:rsidRPr="006127E6" w:rsidRDefault="006127E6" w:rsidP="006127E6">
      <w:pPr>
        <w:rPr>
          <w:lang w:val="en-US"/>
        </w:rPr>
      </w:pPr>
      <w:r w:rsidRPr="006127E6">
        <w:rPr>
          <w:lang w:val="en-US"/>
        </w:rPr>
        <w:t xml:space="preserve">All ratings have been removed from CreditWatch, where they were placed with </w:t>
      </w:r>
    </w:p>
    <w:p w:rsidR="006127E6" w:rsidRPr="006127E6" w:rsidRDefault="006127E6" w:rsidP="006127E6">
      <w:pPr>
        <w:rPr>
          <w:lang w:val="en-US"/>
        </w:rPr>
      </w:pPr>
      <w:proofErr w:type="gramStart"/>
      <w:r w:rsidRPr="006127E6">
        <w:rPr>
          <w:lang w:val="en-US"/>
        </w:rPr>
        <w:t>negative</w:t>
      </w:r>
      <w:proofErr w:type="gramEnd"/>
      <w:r w:rsidRPr="006127E6">
        <w:rPr>
          <w:lang w:val="en-US"/>
        </w:rPr>
        <w:t xml:space="preserve"> implications on Dec. 5, 2011 (except for Cyprus, which was first </w:t>
      </w:r>
    </w:p>
    <w:p w:rsidR="006127E6" w:rsidRPr="006127E6" w:rsidRDefault="006127E6" w:rsidP="006127E6">
      <w:pPr>
        <w:rPr>
          <w:lang w:val="en-US"/>
        </w:rPr>
      </w:pPr>
      <w:proofErr w:type="gramStart"/>
      <w:r w:rsidRPr="006127E6">
        <w:rPr>
          <w:lang w:val="en-US"/>
        </w:rPr>
        <w:t>placed</w:t>
      </w:r>
      <w:proofErr w:type="gramEnd"/>
      <w:r w:rsidRPr="006127E6">
        <w:rPr>
          <w:lang w:val="en-US"/>
        </w:rPr>
        <w:t xml:space="preserve"> on CreditWatch on Aug. 12, 2011).</w:t>
      </w:r>
    </w:p>
    <w:p w:rsidR="006127E6" w:rsidRPr="006127E6" w:rsidRDefault="006127E6" w:rsidP="006127E6">
      <w:pPr>
        <w:rPr>
          <w:lang w:val="en-US"/>
        </w:rPr>
      </w:pPr>
    </w:p>
    <w:p w:rsidR="006127E6" w:rsidRPr="006127E6" w:rsidRDefault="006127E6" w:rsidP="006127E6">
      <w:pPr>
        <w:rPr>
          <w:lang w:val="en-US"/>
        </w:rPr>
      </w:pPr>
      <w:r w:rsidRPr="006127E6">
        <w:rPr>
          <w:lang w:val="en-US"/>
        </w:rPr>
        <w:t xml:space="preserve">The outlooks on the long-term ratings on Austria, Belgium, Cyprus, Estonia, </w:t>
      </w:r>
    </w:p>
    <w:p w:rsidR="006127E6" w:rsidRPr="006127E6" w:rsidRDefault="006127E6" w:rsidP="006127E6">
      <w:pPr>
        <w:rPr>
          <w:lang w:val="en-US"/>
        </w:rPr>
      </w:pPr>
      <w:r w:rsidRPr="006127E6">
        <w:rPr>
          <w:lang w:val="en-US"/>
        </w:rPr>
        <w:t xml:space="preserve">Finland, France, Ireland, Italy, Luxembourg, Malta, the Netherlands, Portugal, </w:t>
      </w:r>
    </w:p>
    <w:p w:rsidR="006127E6" w:rsidRPr="006127E6" w:rsidRDefault="006127E6" w:rsidP="006127E6">
      <w:pPr>
        <w:rPr>
          <w:lang w:val="en-US"/>
        </w:rPr>
      </w:pPr>
      <w:r w:rsidRPr="006127E6">
        <w:rPr>
          <w:lang w:val="en-US"/>
        </w:rPr>
        <w:t xml:space="preserve">Slovenia, and Spain are negative, indicating that we believe that there is at </w:t>
      </w:r>
    </w:p>
    <w:p w:rsidR="006127E6" w:rsidRPr="006127E6" w:rsidRDefault="006127E6" w:rsidP="006127E6">
      <w:pPr>
        <w:rPr>
          <w:lang w:val="en-US"/>
        </w:rPr>
      </w:pPr>
      <w:proofErr w:type="gramStart"/>
      <w:r w:rsidRPr="006127E6">
        <w:rPr>
          <w:lang w:val="en-US"/>
        </w:rPr>
        <w:t>least</w:t>
      </w:r>
      <w:proofErr w:type="gramEnd"/>
      <w:r w:rsidRPr="006127E6">
        <w:rPr>
          <w:lang w:val="en-US"/>
        </w:rPr>
        <w:t xml:space="preserve"> a one-in-three chance that the rating will be lowered in 2012 or 2013. </w:t>
      </w:r>
    </w:p>
    <w:p w:rsidR="006127E6" w:rsidRPr="006127E6" w:rsidRDefault="006127E6" w:rsidP="006127E6">
      <w:pPr>
        <w:rPr>
          <w:lang w:val="en-US"/>
        </w:rPr>
      </w:pPr>
      <w:r w:rsidRPr="006127E6">
        <w:rPr>
          <w:lang w:val="en-US"/>
        </w:rPr>
        <w:t xml:space="preserve">The outlook horizon for issuers with investment-grade ratings is up to two </w:t>
      </w:r>
    </w:p>
    <w:p w:rsidR="006127E6" w:rsidRPr="006127E6" w:rsidRDefault="006127E6" w:rsidP="006127E6">
      <w:pPr>
        <w:rPr>
          <w:lang w:val="en-US"/>
        </w:rPr>
      </w:pPr>
      <w:proofErr w:type="gramStart"/>
      <w:r w:rsidRPr="006127E6">
        <w:rPr>
          <w:lang w:val="en-US"/>
        </w:rPr>
        <w:t>years</w:t>
      </w:r>
      <w:proofErr w:type="gramEnd"/>
      <w:r w:rsidRPr="006127E6">
        <w:rPr>
          <w:lang w:val="en-US"/>
        </w:rPr>
        <w:t xml:space="preserve">, and for issuers with speculative-grade ratings up to one year. The </w:t>
      </w:r>
    </w:p>
    <w:p w:rsidR="006127E6" w:rsidRPr="006127E6" w:rsidRDefault="006127E6" w:rsidP="006127E6">
      <w:pPr>
        <w:rPr>
          <w:lang w:val="en-US"/>
        </w:rPr>
      </w:pPr>
      <w:proofErr w:type="gramStart"/>
      <w:r w:rsidRPr="006127E6">
        <w:rPr>
          <w:lang w:val="en-US"/>
        </w:rPr>
        <w:t>outlooks</w:t>
      </w:r>
      <w:proofErr w:type="gramEnd"/>
      <w:r w:rsidRPr="006127E6">
        <w:rPr>
          <w:lang w:val="en-US"/>
        </w:rPr>
        <w:t xml:space="preserve"> on the long-term ratings on Germany and Slovakia are stable. </w:t>
      </w:r>
    </w:p>
    <w:p w:rsidR="006127E6" w:rsidRPr="006127E6" w:rsidRDefault="006127E6" w:rsidP="006127E6">
      <w:pPr>
        <w:rPr>
          <w:lang w:val="en-US"/>
        </w:rPr>
      </w:pPr>
    </w:p>
    <w:p w:rsidR="006127E6" w:rsidRPr="006127E6" w:rsidRDefault="006127E6" w:rsidP="006127E6">
      <w:pPr>
        <w:rPr>
          <w:lang w:val="en-US"/>
        </w:rPr>
      </w:pPr>
      <w:r w:rsidRPr="006127E6">
        <w:rPr>
          <w:lang w:val="en-US"/>
        </w:rPr>
        <w:t xml:space="preserve">We assigned recovery ratings of '4' to both Cyprus and Portugal, in accordance </w:t>
      </w:r>
    </w:p>
    <w:p w:rsidR="006127E6" w:rsidRPr="006127E6" w:rsidRDefault="006127E6" w:rsidP="006127E6">
      <w:pPr>
        <w:rPr>
          <w:lang w:val="en-US"/>
        </w:rPr>
      </w:pPr>
      <w:proofErr w:type="gramStart"/>
      <w:r w:rsidRPr="006127E6">
        <w:rPr>
          <w:lang w:val="en-US"/>
        </w:rPr>
        <w:t>with</w:t>
      </w:r>
      <w:proofErr w:type="gramEnd"/>
      <w:r w:rsidRPr="006127E6">
        <w:rPr>
          <w:lang w:val="en-US"/>
        </w:rPr>
        <w:t xml:space="preserve"> our practice to assign recovery ratings to issuers rated in the </w:t>
      </w:r>
    </w:p>
    <w:p w:rsidR="006127E6" w:rsidRPr="006127E6" w:rsidRDefault="006127E6" w:rsidP="006127E6">
      <w:pPr>
        <w:rPr>
          <w:lang w:val="en-US"/>
        </w:rPr>
      </w:pPr>
      <w:proofErr w:type="gramStart"/>
      <w:r w:rsidRPr="006127E6">
        <w:rPr>
          <w:lang w:val="en-US"/>
        </w:rPr>
        <w:t>speculative-grade</w:t>
      </w:r>
      <w:proofErr w:type="gramEnd"/>
      <w:r w:rsidRPr="006127E6">
        <w:rPr>
          <w:lang w:val="en-US"/>
        </w:rPr>
        <w:t xml:space="preserve"> category, indicating an expected recovery of 30%-50% should </w:t>
      </w:r>
    </w:p>
    <w:p w:rsidR="006127E6" w:rsidRPr="006127E6" w:rsidRDefault="006127E6" w:rsidP="006127E6">
      <w:pPr>
        <w:rPr>
          <w:lang w:val="en-US"/>
        </w:rPr>
      </w:pPr>
      <w:proofErr w:type="gramStart"/>
      <w:r w:rsidRPr="006127E6">
        <w:rPr>
          <w:lang w:val="en-US"/>
        </w:rPr>
        <w:t>a</w:t>
      </w:r>
      <w:proofErr w:type="gramEnd"/>
      <w:r w:rsidRPr="006127E6">
        <w:rPr>
          <w:lang w:val="en-US"/>
        </w:rPr>
        <w:t xml:space="preserve"> default occur in the future. </w:t>
      </w:r>
    </w:p>
    <w:p w:rsidR="006127E6" w:rsidRPr="006127E6" w:rsidRDefault="006127E6" w:rsidP="006127E6">
      <w:pPr>
        <w:rPr>
          <w:lang w:val="en-US"/>
        </w:rPr>
      </w:pPr>
    </w:p>
    <w:p w:rsidR="006127E6" w:rsidRPr="006127E6" w:rsidRDefault="006127E6" w:rsidP="006127E6">
      <w:pPr>
        <w:rPr>
          <w:highlight w:val="yellow"/>
          <w:lang w:val="en-US"/>
        </w:rPr>
      </w:pPr>
      <w:r w:rsidRPr="006127E6">
        <w:rPr>
          <w:lang w:val="en-US"/>
        </w:rPr>
        <w:t xml:space="preserve">Today's rating actions are primarily driven by </w:t>
      </w:r>
      <w:r w:rsidRPr="006127E6">
        <w:rPr>
          <w:highlight w:val="yellow"/>
          <w:lang w:val="en-US"/>
        </w:rPr>
        <w:t xml:space="preserve">our assessment that the policy </w:t>
      </w:r>
    </w:p>
    <w:p w:rsidR="006127E6" w:rsidRPr="006127E6" w:rsidRDefault="006127E6" w:rsidP="006127E6">
      <w:pPr>
        <w:rPr>
          <w:highlight w:val="yellow"/>
          <w:lang w:val="en-US"/>
        </w:rPr>
      </w:pPr>
      <w:proofErr w:type="gramStart"/>
      <w:r w:rsidRPr="006127E6">
        <w:rPr>
          <w:highlight w:val="yellow"/>
          <w:lang w:val="en-US"/>
        </w:rPr>
        <w:t>initiatives</w:t>
      </w:r>
      <w:proofErr w:type="gramEnd"/>
      <w:r w:rsidRPr="006127E6">
        <w:rPr>
          <w:highlight w:val="yellow"/>
          <w:lang w:val="en-US"/>
        </w:rPr>
        <w:t xml:space="preserve"> that have been taken by European policymakers in recent weeks may </w:t>
      </w:r>
    </w:p>
    <w:p w:rsidR="006127E6" w:rsidRPr="006127E6" w:rsidRDefault="006127E6" w:rsidP="006127E6">
      <w:pPr>
        <w:rPr>
          <w:lang w:val="en-US"/>
        </w:rPr>
      </w:pPr>
      <w:proofErr w:type="gramStart"/>
      <w:r w:rsidRPr="006127E6">
        <w:rPr>
          <w:highlight w:val="yellow"/>
          <w:lang w:val="en-US"/>
        </w:rPr>
        <w:t>be</w:t>
      </w:r>
      <w:proofErr w:type="gramEnd"/>
      <w:r w:rsidRPr="006127E6">
        <w:rPr>
          <w:highlight w:val="yellow"/>
          <w:lang w:val="en-US"/>
        </w:rPr>
        <w:t xml:space="preserve"> insufficient to fully address ongoing systemic stresses in the </w:t>
      </w:r>
      <w:proofErr w:type="spellStart"/>
      <w:r w:rsidRPr="006127E6">
        <w:rPr>
          <w:highlight w:val="yellow"/>
          <w:lang w:val="en-US"/>
        </w:rPr>
        <w:t>eurozone</w:t>
      </w:r>
      <w:proofErr w:type="spellEnd"/>
      <w:r w:rsidRPr="006127E6">
        <w:rPr>
          <w:lang w:val="en-US"/>
        </w:rPr>
        <w:t xml:space="preserve">. In </w:t>
      </w:r>
    </w:p>
    <w:p w:rsidR="006127E6" w:rsidRPr="006127E6" w:rsidRDefault="006127E6" w:rsidP="006127E6">
      <w:pPr>
        <w:rPr>
          <w:lang w:val="en-US"/>
        </w:rPr>
      </w:pPr>
      <w:proofErr w:type="gramStart"/>
      <w:r w:rsidRPr="006127E6">
        <w:rPr>
          <w:lang w:val="en-US"/>
        </w:rPr>
        <w:t>our</w:t>
      </w:r>
      <w:proofErr w:type="gramEnd"/>
      <w:r w:rsidRPr="006127E6">
        <w:rPr>
          <w:lang w:val="en-US"/>
        </w:rPr>
        <w:t xml:space="preserve"> view, these stresses include: (1) tightening credit conditions, (2) an </w:t>
      </w:r>
    </w:p>
    <w:p w:rsidR="006127E6" w:rsidRPr="006127E6" w:rsidRDefault="006127E6" w:rsidP="006127E6">
      <w:pPr>
        <w:rPr>
          <w:lang w:val="en-US"/>
        </w:rPr>
      </w:pPr>
      <w:proofErr w:type="gramStart"/>
      <w:r w:rsidRPr="006127E6">
        <w:rPr>
          <w:lang w:val="en-US"/>
        </w:rPr>
        <w:t>increase</w:t>
      </w:r>
      <w:proofErr w:type="gramEnd"/>
      <w:r w:rsidRPr="006127E6">
        <w:rPr>
          <w:lang w:val="en-US"/>
        </w:rPr>
        <w:t xml:space="preserve"> in risk premiums for a widening group of </w:t>
      </w:r>
      <w:proofErr w:type="spellStart"/>
      <w:r w:rsidRPr="006127E6">
        <w:rPr>
          <w:lang w:val="en-US"/>
        </w:rPr>
        <w:t>eurozone</w:t>
      </w:r>
      <w:proofErr w:type="spellEnd"/>
      <w:r w:rsidRPr="006127E6">
        <w:rPr>
          <w:lang w:val="en-US"/>
        </w:rPr>
        <w:t xml:space="preserve"> issuers, (3) a </w:t>
      </w:r>
    </w:p>
    <w:p w:rsidR="006127E6" w:rsidRPr="006127E6" w:rsidRDefault="006127E6" w:rsidP="006127E6">
      <w:pPr>
        <w:rPr>
          <w:highlight w:val="yellow"/>
          <w:lang w:val="en-US"/>
        </w:rPr>
      </w:pPr>
      <w:proofErr w:type="gramStart"/>
      <w:r w:rsidRPr="006127E6">
        <w:rPr>
          <w:lang w:val="en-US"/>
        </w:rPr>
        <w:t>simultaneous</w:t>
      </w:r>
      <w:proofErr w:type="gramEnd"/>
      <w:r w:rsidRPr="006127E6">
        <w:rPr>
          <w:lang w:val="en-US"/>
        </w:rPr>
        <w:t xml:space="preserve"> attempt to </w:t>
      </w:r>
      <w:proofErr w:type="spellStart"/>
      <w:r w:rsidRPr="006127E6">
        <w:rPr>
          <w:lang w:val="en-US"/>
        </w:rPr>
        <w:t>delever</w:t>
      </w:r>
      <w:proofErr w:type="spellEnd"/>
      <w:r w:rsidRPr="006127E6">
        <w:rPr>
          <w:lang w:val="en-US"/>
        </w:rPr>
        <w:t xml:space="preserve"> by governments and households, (4) </w:t>
      </w:r>
      <w:r w:rsidRPr="006127E6">
        <w:rPr>
          <w:highlight w:val="yellow"/>
          <w:lang w:val="en-US"/>
        </w:rPr>
        <w:t xml:space="preserve">weakening </w:t>
      </w:r>
    </w:p>
    <w:p w:rsidR="006127E6" w:rsidRPr="006127E6" w:rsidRDefault="006127E6" w:rsidP="006127E6">
      <w:pPr>
        <w:rPr>
          <w:highlight w:val="yellow"/>
          <w:lang w:val="en-US"/>
        </w:rPr>
      </w:pPr>
      <w:proofErr w:type="gramStart"/>
      <w:r w:rsidRPr="006127E6">
        <w:rPr>
          <w:highlight w:val="yellow"/>
          <w:lang w:val="en-US"/>
        </w:rPr>
        <w:t>economic</w:t>
      </w:r>
      <w:proofErr w:type="gramEnd"/>
      <w:r w:rsidRPr="006127E6">
        <w:rPr>
          <w:highlight w:val="yellow"/>
          <w:lang w:val="en-US"/>
        </w:rPr>
        <w:t xml:space="preserve"> growth prospects</w:t>
      </w:r>
      <w:r w:rsidRPr="006127E6">
        <w:rPr>
          <w:lang w:val="en-US"/>
        </w:rPr>
        <w:t xml:space="preserve">, and (5) </w:t>
      </w:r>
      <w:r w:rsidRPr="006127E6">
        <w:rPr>
          <w:highlight w:val="yellow"/>
          <w:lang w:val="en-US"/>
        </w:rPr>
        <w:t xml:space="preserve">an open and prolonged dispute among </w:t>
      </w:r>
    </w:p>
    <w:p w:rsidR="006127E6" w:rsidRPr="006127E6" w:rsidRDefault="006127E6" w:rsidP="006127E6">
      <w:pPr>
        <w:rPr>
          <w:lang w:val="en-US"/>
        </w:rPr>
      </w:pPr>
      <w:proofErr w:type="gramStart"/>
      <w:r w:rsidRPr="006127E6">
        <w:rPr>
          <w:highlight w:val="yellow"/>
          <w:lang w:val="en-US"/>
        </w:rPr>
        <w:t>European policymakers over the proper approach to address challenges</w:t>
      </w:r>
      <w:r w:rsidRPr="006127E6">
        <w:rPr>
          <w:lang w:val="en-US"/>
        </w:rPr>
        <w:t>.</w:t>
      </w:r>
      <w:proofErr w:type="gramEnd"/>
    </w:p>
    <w:p w:rsidR="006127E6" w:rsidRPr="006127E6" w:rsidRDefault="006127E6" w:rsidP="006127E6">
      <w:pPr>
        <w:rPr>
          <w:lang w:val="en-US"/>
        </w:rPr>
      </w:pPr>
    </w:p>
    <w:p w:rsidR="006127E6" w:rsidRPr="006127E6" w:rsidRDefault="006127E6" w:rsidP="006127E6">
      <w:pPr>
        <w:rPr>
          <w:lang w:val="en-US"/>
        </w:rPr>
      </w:pPr>
      <w:r w:rsidRPr="006127E6">
        <w:rPr>
          <w:lang w:val="en-US"/>
        </w:rPr>
        <w:lastRenderedPageBreak/>
        <w:t xml:space="preserve">The outcomes from the EU summit on Dec. 9, 2011, and subsequent statements </w:t>
      </w:r>
    </w:p>
    <w:p w:rsidR="006127E6" w:rsidRPr="006127E6" w:rsidRDefault="006127E6" w:rsidP="006127E6">
      <w:pPr>
        <w:rPr>
          <w:lang w:val="en-US"/>
        </w:rPr>
      </w:pPr>
      <w:proofErr w:type="gramStart"/>
      <w:r w:rsidRPr="006127E6">
        <w:rPr>
          <w:lang w:val="en-US"/>
        </w:rPr>
        <w:t>from</w:t>
      </w:r>
      <w:proofErr w:type="gramEnd"/>
      <w:r w:rsidRPr="006127E6">
        <w:rPr>
          <w:lang w:val="en-US"/>
        </w:rPr>
        <w:t xml:space="preserve"> policymakers, lead us to believe that the agreement reached has not </w:t>
      </w:r>
    </w:p>
    <w:p w:rsidR="006127E6" w:rsidRPr="006127E6" w:rsidRDefault="006127E6" w:rsidP="006127E6">
      <w:pPr>
        <w:rPr>
          <w:lang w:val="en-US"/>
        </w:rPr>
      </w:pPr>
      <w:proofErr w:type="gramStart"/>
      <w:r w:rsidRPr="006127E6">
        <w:rPr>
          <w:lang w:val="en-US"/>
        </w:rPr>
        <w:t>produced</w:t>
      </w:r>
      <w:proofErr w:type="gramEnd"/>
      <w:r w:rsidRPr="006127E6">
        <w:rPr>
          <w:lang w:val="en-US"/>
        </w:rPr>
        <w:t xml:space="preserve"> a breakthrough of sufficient size and scope to fully address the </w:t>
      </w:r>
    </w:p>
    <w:p w:rsidR="006127E6" w:rsidRPr="006127E6" w:rsidRDefault="006127E6" w:rsidP="006127E6">
      <w:pPr>
        <w:rPr>
          <w:highlight w:val="yellow"/>
          <w:lang w:val="en-US"/>
        </w:rPr>
      </w:pPr>
      <w:proofErr w:type="spellStart"/>
      <w:proofErr w:type="gramStart"/>
      <w:r w:rsidRPr="006127E6">
        <w:rPr>
          <w:lang w:val="en-US"/>
        </w:rPr>
        <w:t>eurozone's</w:t>
      </w:r>
      <w:proofErr w:type="spellEnd"/>
      <w:proofErr w:type="gramEnd"/>
      <w:r w:rsidRPr="006127E6">
        <w:rPr>
          <w:lang w:val="en-US"/>
        </w:rPr>
        <w:t xml:space="preserve"> financial problems. In our opinion, the </w:t>
      </w:r>
      <w:r w:rsidRPr="006127E6">
        <w:rPr>
          <w:highlight w:val="yellow"/>
          <w:lang w:val="en-US"/>
        </w:rPr>
        <w:t xml:space="preserve">political agreement does </w:t>
      </w:r>
    </w:p>
    <w:p w:rsidR="006127E6" w:rsidRPr="006127E6" w:rsidRDefault="006127E6" w:rsidP="006127E6">
      <w:pPr>
        <w:rPr>
          <w:highlight w:val="yellow"/>
          <w:lang w:val="en-US"/>
        </w:rPr>
      </w:pPr>
      <w:proofErr w:type="gramStart"/>
      <w:r w:rsidRPr="006127E6">
        <w:rPr>
          <w:highlight w:val="yellow"/>
          <w:lang w:val="en-US"/>
        </w:rPr>
        <w:t>not</w:t>
      </w:r>
      <w:proofErr w:type="gramEnd"/>
      <w:r w:rsidRPr="006127E6">
        <w:rPr>
          <w:highlight w:val="yellow"/>
          <w:lang w:val="en-US"/>
        </w:rPr>
        <w:t xml:space="preserve"> supply sufficient additional resources or operational flexibility to </w:t>
      </w:r>
    </w:p>
    <w:p w:rsidR="006127E6" w:rsidRPr="006127E6" w:rsidRDefault="006127E6" w:rsidP="006127E6">
      <w:pPr>
        <w:rPr>
          <w:highlight w:val="yellow"/>
          <w:lang w:val="en-US"/>
        </w:rPr>
      </w:pPr>
      <w:proofErr w:type="gramStart"/>
      <w:r w:rsidRPr="006127E6">
        <w:rPr>
          <w:highlight w:val="yellow"/>
          <w:lang w:val="en-US"/>
        </w:rPr>
        <w:t>bolster</w:t>
      </w:r>
      <w:proofErr w:type="gramEnd"/>
      <w:r w:rsidRPr="006127E6">
        <w:rPr>
          <w:highlight w:val="yellow"/>
          <w:lang w:val="en-US"/>
        </w:rPr>
        <w:t xml:space="preserve"> European rescue operations, or extend enough support for those </w:t>
      </w:r>
    </w:p>
    <w:p w:rsidR="006127E6" w:rsidRPr="006127E6" w:rsidRDefault="006127E6" w:rsidP="006127E6">
      <w:pPr>
        <w:rPr>
          <w:lang w:val="en-US"/>
        </w:rPr>
      </w:pPr>
      <w:proofErr w:type="spellStart"/>
      <w:proofErr w:type="gramStart"/>
      <w:r w:rsidRPr="006127E6">
        <w:rPr>
          <w:highlight w:val="yellow"/>
          <w:lang w:val="en-US"/>
        </w:rPr>
        <w:t>eurozone</w:t>
      </w:r>
      <w:proofErr w:type="spellEnd"/>
      <w:proofErr w:type="gramEnd"/>
      <w:r w:rsidRPr="006127E6">
        <w:rPr>
          <w:highlight w:val="yellow"/>
          <w:lang w:val="en-US"/>
        </w:rPr>
        <w:t xml:space="preserve"> sovereigns subjected to heightened market pressures</w:t>
      </w:r>
      <w:r w:rsidRPr="006127E6">
        <w:rPr>
          <w:lang w:val="en-US"/>
        </w:rPr>
        <w:t xml:space="preserve">. </w:t>
      </w:r>
    </w:p>
    <w:p w:rsidR="006127E6" w:rsidRPr="006127E6" w:rsidRDefault="006127E6" w:rsidP="006127E6">
      <w:pPr>
        <w:rPr>
          <w:lang w:val="en-US"/>
        </w:rPr>
      </w:pPr>
    </w:p>
    <w:p w:rsidR="006127E6" w:rsidRPr="006127E6" w:rsidRDefault="006127E6" w:rsidP="006127E6">
      <w:pPr>
        <w:rPr>
          <w:lang w:val="en-US"/>
        </w:rPr>
      </w:pPr>
      <w:r w:rsidRPr="006127E6">
        <w:rPr>
          <w:lang w:val="en-US"/>
        </w:rPr>
        <w:t xml:space="preserve">We also believe that the agreement is predicated on only a partial recognition </w:t>
      </w:r>
    </w:p>
    <w:p w:rsidR="006127E6" w:rsidRPr="006127E6" w:rsidRDefault="006127E6" w:rsidP="006127E6">
      <w:pPr>
        <w:rPr>
          <w:lang w:val="en-US"/>
        </w:rPr>
      </w:pPr>
      <w:proofErr w:type="gramStart"/>
      <w:r w:rsidRPr="006127E6">
        <w:rPr>
          <w:lang w:val="en-US"/>
        </w:rPr>
        <w:t>of</w:t>
      </w:r>
      <w:proofErr w:type="gramEnd"/>
      <w:r w:rsidRPr="006127E6">
        <w:rPr>
          <w:lang w:val="en-US"/>
        </w:rPr>
        <w:t xml:space="preserve"> the source of the crisis: that the current financial turmoil stems </w:t>
      </w:r>
    </w:p>
    <w:p w:rsidR="006127E6" w:rsidRPr="006127E6" w:rsidRDefault="006127E6" w:rsidP="006127E6">
      <w:pPr>
        <w:rPr>
          <w:lang w:val="en-US"/>
        </w:rPr>
      </w:pPr>
      <w:proofErr w:type="gramStart"/>
      <w:r w:rsidRPr="006127E6">
        <w:rPr>
          <w:lang w:val="en-US"/>
        </w:rPr>
        <w:t>primarily</w:t>
      </w:r>
      <w:proofErr w:type="gramEnd"/>
      <w:r w:rsidRPr="006127E6">
        <w:rPr>
          <w:lang w:val="en-US"/>
        </w:rPr>
        <w:t xml:space="preserve"> from fiscal profligacy at the periphery of the </w:t>
      </w:r>
      <w:proofErr w:type="spellStart"/>
      <w:r w:rsidRPr="006127E6">
        <w:rPr>
          <w:lang w:val="en-US"/>
        </w:rPr>
        <w:t>eurozone</w:t>
      </w:r>
      <w:proofErr w:type="spellEnd"/>
      <w:r w:rsidRPr="006127E6">
        <w:rPr>
          <w:lang w:val="en-US"/>
        </w:rPr>
        <w:t xml:space="preserve">. In our </w:t>
      </w:r>
    </w:p>
    <w:p w:rsidR="006127E6" w:rsidRPr="006127E6" w:rsidRDefault="006127E6" w:rsidP="006127E6">
      <w:pPr>
        <w:rPr>
          <w:lang w:val="en-US"/>
        </w:rPr>
      </w:pPr>
      <w:proofErr w:type="gramStart"/>
      <w:r w:rsidRPr="006127E6">
        <w:rPr>
          <w:lang w:val="en-US"/>
        </w:rPr>
        <w:t>view</w:t>
      </w:r>
      <w:proofErr w:type="gramEnd"/>
      <w:r w:rsidRPr="006127E6">
        <w:rPr>
          <w:lang w:val="en-US"/>
        </w:rPr>
        <w:t xml:space="preserve">, however, the financial problems facing the </w:t>
      </w:r>
      <w:proofErr w:type="spellStart"/>
      <w:r w:rsidRPr="006127E6">
        <w:rPr>
          <w:lang w:val="en-US"/>
        </w:rPr>
        <w:t>eurozone</w:t>
      </w:r>
      <w:proofErr w:type="spellEnd"/>
      <w:r w:rsidRPr="006127E6">
        <w:rPr>
          <w:lang w:val="en-US"/>
        </w:rPr>
        <w:t xml:space="preserve"> are as much a </w:t>
      </w:r>
    </w:p>
    <w:p w:rsidR="006127E6" w:rsidRPr="006127E6" w:rsidRDefault="006127E6" w:rsidP="006127E6">
      <w:pPr>
        <w:rPr>
          <w:lang w:val="en-US"/>
        </w:rPr>
      </w:pPr>
      <w:proofErr w:type="gramStart"/>
      <w:r w:rsidRPr="006127E6">
        <w:rPr>
          <w:lang w:val="en-US"/>
        </w:rPr>
        <w:t>consequence</w:t>
      </w:r>
      <w:proofErr w:type="gramEnd"/>
      <w:r w:rsidRPr="006127E6">
        <w:rPr>
          <w:lang w:val="en-US"/>
        </w:rPr>
        <w:t xml:space="preserve"> of rising external imbalances and divergences in competitiveness </w:t>
      </w:r>
    </w:p>
    <w:p w:rsidR="006127E6" w:rsidRPr="005172FD" w:rsidRDefault="006127E6" w:rsidP="006127E6">
      <w:pPr>
        <w:rPr>
          <w:highlight w:val="yellow"/>
          <w:lang w:val="en-US"/>
        </w:rPr>
      </w:pPr>
      <w:proofErr w:type="gramStart"/>
      <w:r w:rsidRPr="006127E6">
        <w:rPr>
          <w:lang w:val="en-US"/>
        </w:rPr>
        <w:t>between</w:t>
      </w:r>
      <w:proofErr w:type="gramEnd"/>
      <w:r w:rsidRPr="006127E6">
        <w:rPr>
          <w:lang w:val="en-US"/>
        </w:rPr>
        <w:t xml:space="preserve"> the </w:t>
      </w:r>
      <w:proofErr w:type="spellStart"/>
      <w:r w:rsidRPr="006127E6">
        <w:rPr>
          <w:lang w:val="en-US"/>
        </w:rPr>
        <w:t>eurozone's</w:t>
      </w:r>
      <w:proofErr w:type="spellEnd"/>
      <w:r w:rsidRPr="006127E6">
        <w:rPr>
          <w:lang w:val="en-US"/>
        </w:rPr>
        <w:t xml:space="preserve"> core and the so-called "periphery". As such, </w:t>
      </w:r>
      <w:r w:rsidRPr="005172FD">
        <w:rPr>
          <w:highlight w:val="yellow"/>
          <w:lang w:val="en-US"/>
        </w:rPr>
        <w:t xml:space="preserve">we believe </w:t>
      </w:r>
    </w:p>
    <w:p w:rsidR="006127E6" w:rsidRPr="005172FD" w:rsidRDefault="006127E6" w:rsidP="006127E6">
      <w:pPr>
        <w:rPr>
          <w:highlight w:val="yellow"/>
          <w:lang w:val="en-US"/>
        </w:rPr>
      </w:pPr>
      <w:proofErr w:type="gramStart"/>
      <w:r w:rsidRPr="005172FD">
        <w:rPr>
          <w:highlight w:val="yellow"/>
          <w:lang w:val="en-US"/>
        </w:rPr>
        <w:t>that</w:t>
      </w:r>
      <w:proofErr w:type="gramEnd"/>
      <w:r w:rsidRPr="005172FD">
        <w:rPr>
          <w:highlight w:val="yellow"/>
          <w:lang w:val="en-US"/>
        </w:rPr>
        <w:t xml:space="preserve"> a reform process based on a pillar of fiscal austerity alone risks </w:t>
      </w:r>
    </w:p>
    <w:p w:rsidR="006127E6" w:rsidRPr="005172FD" w:rsidRDefault="006127E6" w:rsidP="006127E6">
      <w:pPr>
        <w:rPr>
          <w:highlight w:val="yellow"/>
          <w:lang w:val="en-US"/>
        </w:rPr>
      </w:pPr>
      <w:proofErr w:type="gramStart"/>
      <w:r w:rsidRPr="005172FD">
        <w:rPr>
          <w:highlight w:val="yellow"/>
          <w:lang w:val="en-US"/>
        </w:rPr>
        <w:t>becoming</w:t>
      </w:r>
      <w:proofErr w:type="gramEnd"/>
      <w:r w:rsidRPr="005172FD">
        <w:rPr>
          <w:highlight w:val="yellow"/>
          <w:lang w:val="en-US"/>
        </w:rPr>
        <w:t xml:space="preserve"> self-defeating, as domestic demand falls in line with consumers' </w:t>
      </w:r>
    </w:p>
    <w:p w:rsidR="006127E6" w:rsidRPr="005172FD" w:rsidRDefault="006127E6" w:rsidP="006127E6">
      <w:pPr>
        <w:rPr>
          <w:highlight w:val="yellow"/>
          <w:lang w:val="en-US"/>
        </w:rPr>
      </w:pPr>
      <w:proofErr w:type="gramStart"/>
      <w:r w:rsidRPr="005172FD">
        <w:rPr>
          <w:highlight w:val="yellow"/>
          <w:lang w:val="en-US"/>
        </w:rPr>
        <w:t>rising</w:t>
      </w:r>
      <w:proofErr w:type="gramEnd"/>
      <w:r w:rsidRPr="005172FD">
        <w:rPr>
          <w:highlight w:val="yellow"/>
          <w:lang w:val="en-US"/>
        </w:rPr>
        <w:t xml:space="preserve"> concerns about job security and disposable incomes, eroding national </w:t>
      </w:r>
    </w:p>
    <w:p w:rsidR="006127E6" w:rsidRPr="006127E6" w:rsidRDefault="006127E6" w:rsidP="006127E6">
      <w:pPr>
        <w:rPr>
          <w:lang w:val="en-US"/>
        </w:rPr>
      </w:pPr>
      <w:proofErr w:type="gramStart"/>
      <w:r w:rsidRPr="005172FD">
        <w:rPr>
          <w:highlight w:val="yellow"/>
          <w:lang w:val="en-US"/>
        </w:rPr>
        <w:t>tax</w:t>
      </w:r>
      <w:proofErr w:type="gramEnd"/>
      <w:r w:rsidRPr="005172FD">
        <w:rPr>
          <w:highlight w:val="yellow"/>
          <w:lang w:val="en-US"/>
        </w:rPr>
        <w:t xml:space="preserve"> revenues.</w:t>
      </w:r>
      <w:r w:rsidRPr="006127E6">
        <w:rPr>
          <w:lang w:val="en-US"/>
        </w:rPr>
        <w:t xml:space="preserve"> </w:t>
      </w:r>
    </w:p>
    <w:p w:rsidR="006127E6" w:rsidRPr="006127E6" w:rsidRDefault="006127E6" w:rsidP="006127E6">
      <w:pPr>
        <w:rPr>
          <w:lang w:val="en-US"/>
        </w:rPr>
      </w:pPr>
    </w:p>
    <w:p w:rsidR="006127E6" w:rsidRPr="006127E6" w:rsidRDefault="006127E6" w:rsidP="006127E6">
      <w:pPr>
        <w:rPr>
          <w:lang w:val="en-US"/>
        </w:rPr>
      </w:pPr>
      <w:r w:rsidRPr="006127E6">
        <w:rPr>
          <w:lang w:val="en-US"/>
        </w:rPr>
        <w:t xml:space="preserve">Accordingly, in line with our published sovereign criteria, we have adjusted </w:t>
      </w:r>
    </w:p>
    <w:p w:rsidR="006127E6" w:rsidRPr="006127E6" w:rsidRDefault="006127E6" w:rsidP="006127E6">
      <w:pPr>
        <w:rPr>
          <w:lang w:val="en-US"/>
        </w:rPr>
      </w:pPr>
      <w:proofErr w:type="gramStart"/>
      <w:r w:rsidRPr="006127E6">
        <w:rPr>
          <w:lang w:val="en-US"/>
        </w:rPr>
        <w:t>downward</w:t>
      </w:r>
      <w:proofErr w:type="gramEnd"/>
      <w:r w:rsidRPr="006127E6">
        <w:rPr>
          <w:lang w:val="en-US"/>
        </w:rPr>
        <w:t xml:space="preserve"> our political scores (one of the five key factors in our criteria) </w:t>
      </w:r>
    </w:p>
    <w:p w:rsidR="006127E6" w:rsidRPr="006127E6" w:rsidRDefault="006127E6" w:rsidP="006127E6">
      <w:pPr>
        <w:rPr>
          <w:lang w:val="en-US"/>
        </w:rPr>
      </w:pPr>
      <w:proofErr w:type="gramStart"/>
      <w:r w:rsidRPr="006127E6">
        <w:rPr>
          <w:lang w:val="en-US"/>
        </w:rPr>
        <w:t>for</w:t>
      </w:r>
      <w:proofErr w:type="gramEnd"/>
      <w:r w:rsidRPr="006127E6">
        <w:rPr>
          <w:lang w:val="en-US"/>
        </w:rPr>
        <w:t xml:space="preserve"> those </w:t>
      </w:r>
      <w:proofErr w:type="spellStart"/>
      <w:r w:rsidRPr="006127E6">
        <w:rPr>
          <w:lang w:val="en-US"/>
        </w:rPr>
        <w:t>eurozone</w:t>
      </w:r>
      <w:proofErr w:type="spellEnd"/>
      <w:r w:rsidRPr="006127E6">
        <w:rPr>
          <w:lang w:val="en-US"/>
        </w:rPr>
        <w:t xml:space="preserve"> sovereigns we had previously scored in our two highest </w:t>
      </w:r>
    </w:p>
    <w:p w:rsidR="006127E6" w:rsidRPr="005172FD" w:rsidRDefault="006127E6" w:rsidP="006127E6">
      <w:pPr>
        <w:rPr>
          <w:highlight w:val="yellow"/>
          <w:lang w:val="en-US"/>
        </w:rPr>
      </w:pPr>
      <w:proofErr w:type="gramStart"/>
      <w:r w:rsidRPr="006127E6">
        <w:rPr>
          <w:lang w:val="en-US"/>
        </w:rPr>
        <w:t>categories</w:t>
      </w:r>
      <w:proofErr w:type="gramEnd"/>
      <w:r w:rsidRPr="006127E6">
        <w:rPr>
          <w:lang w:val="en-US"/>
        </w:rPr>
        <w:t xml:space="preserve">. This reflects our view that </w:t>
      </w:r>
      <w:r w:rsidRPr="005172FD">
        <w:rPr>
          <w:highlight w:val="yellow"/>
          <w:lang w:val="en-US"/>
        </w:rPr>
        <w:t xml:space="preserve">the effectiveness, stability, and </w:t>
      </w:r>
    </w:p>
    <w:p w:rsidR="006127E6" w:rsidRPr="005172FD" w:rsidRDefault="006127E6" w:rsidP="006127E6">
      <w:pPr>
        <w:rPr>
          <w:highlight w:val="yellow"/>
          <w:lang w:val="en-US"/>
        </w:rPr>
      </w:pPr>
      <w:proofErr w:type="gramStart"/>
      <w:r w:rsidRPr="005172FD">
        <w:rPr>
          <w:highlight w:val="yellow"/>
          <w:lang w:val="en-US"/>
        </w:rPr>
        <w:t>predictability</w:t>
      </w:r>
      <w:proofErr w:type="gramEnd"/>
      <w:r w:rsidRPr="005172FD">
        <w:rPr>
          <w:highlight w:val="yellow"/>
          <w:lang w:val="en-US"/>
        </w:rPr>
        <w:t xml:space="preserve"> of European policymaking and political institutions have not </w:t>
      </w:r>
    </w:p>
    <w:p w:rsidR="006127E6" w:rsidRPr="005172FD" w:rsidRDefault="006127E6" w:rsidP="006127E6">
      <w:pPr>
        <w:rPr>
          <w:highlight w:val="yellow"/>
          <w:lang w:val="en-US"/>
        </w:rPr>
      </w:pPr>
      <w:proofErr w:type="gramStart"/>
      <w:r w:rsidRPr="005172FD">
        <w:rPr>
          <w:highlight w:val="yellow"/>
          <w:lang w:val="en-US"/>
        </w:rPr>
        <w:t>been</w:t>
      </w:r>
      <w:proofErr w:type="gramEnd"/>
      <w:r w:rsidRPr="005172FD">
        <w:rPr>
          <w:highlight w:val="yellow"/>
          <w:lang w:val="en-US"/>
        </w:rPr>
        <w:t xml:space="preserve"> as strong as we believe are called for by the severity of a broadening </w:t>
      </w:r>
    </w:p>
    <w:p w:rsidR="006127E6" w:rsidRPr="006127E6" w:rsidRDefault="006127E6" w:rsidP="006127E6">
      <w:pPr>
        <w:rPr>
          <w:lang w:val="en-US"/>
        </w:rPr>
      </w:pPr>
      <w:proofErr w:type="gramStart"/>
      <w:r w:rsidRPr="005172FD">
        <w:rPr>
          <w:highlight w:val="yellow"/>
          <w:lang w:val="en-US"/>
        </w:rPr>
        <w:t>and</w:t>
      </w:r>
      <w:proofErr w:type="gramEnd"/>
      <w:r w:rsidRPr="005172FD">
        <w:rPr>
          <w:highlight w:val="yellow"/>
          <w:lang w:val="en-US"/>
        </w:rPr>
        <w:t xml:space="preserve"> deepening financial crisis in the </w:t>
      </w:r>
      <w:proofErr w:type="spellStart"/>
      <w:r w:rsidRPr="005172FD">
        <w:rPr>
          <w:highlight w:val="yellow"/>
          <w:lang w:val="en-US"/>
        </w:rPr>
        <w:t>eurozone</w:t>
      </w:r>
      <w:proofErr w:type="spellEnd"/>
      <w:r w:rsidRPr="006127E6">
        <w:rPr>
          <w:lang w:val="en-US"/>
        </w:rPr>
        <w:t>.</w:t>
      </w:r>
    </w:p>
    <w:p w:rsidR="006127E6" w:rsidRPr="006127E6" w:rsidRDefault="006127E6" w:rsidP="006127E6">
      <w:pPr>
        <w:rPr>
          <w:lang w:val="en-US"/>
        </w:rPr>
      </w:pPr>
    </w:p>
    <w:p w:rsidR="006127E6" w:rsidRPr="006127E6" w:rsidRDefault="006127E6" w:rsidP="006127E6">
      <w:pPr>
        <w:rPr>
          <w:lang w:val="en-US"/>
        </w:rPr>
      </w:pPr>
      <w:r w:rsidRPr="006127E6">
        <w:rPr>
          <w:lang w:val="en-US"/>
        </w:rPr>
        <w:t xml:space="preserve">In our view, it is increasingly likely that refinancing costs for certain </w:t>
      </w:r>
    </w:p>
    <w:p w:rsidR="006127E6" w:rsidRPr="006127E6" w:rsidRDefault="006127E6" w:rsidP="006127E6">
      <w:pPr>
        <w:rPr>
          <w:lang w:val="en-US"/>
        </w:rPr>
      </w:pPr>
      <w:proofErr w:type="gramStart"/>
      <w:r w:rsidRPr="006127E6">
        <w:rPr>
          <w:lang w:val="en-US"/>
        </w:rPr>
        <w:t>countries</w:t>
      </w:r>
      <w:proofErr w:type="gramEnd"/>
      <w:r w:rsidRPr="006127E6">
        <w:rPr>
          <w:lang w:val="en-US"/>
        </w:rPr>
        <w:t xml:space="preserve"> may remain elevated, that credit availability and economic growth </w:t>
      </w:r>
    </w:p>
    <w:p w:rsidR="006127E6" w:rsidRPr="006127E6" w:rsidRDefault="006127E6" w:rsidP="006127E6">
      <w:pPr>
        <w:rPr>
          <w:lang w:val="en-US"/>
        </w:rPr>
      </w:pPr>
      <w:proofErr w:type="gramStart"/>
      <w:r w:rsidRPr="006127E6">
        <w:rPr>
          <w:lang w:val="en-US"/>
        </w:rPr>
        <w:t>may</w:t>
      </w:r>
      <w:proofErr w:type="gramEnd"/>
      <w:r w:rsidRPr="006127E6">
        <w:rPr>
          <w:lang w:val="en-US"/>
        </w:rPr>
        <w:t xml:space="preserve"> further decelerate, and that pressure on financing conditions may persist. </w:t>
      </w:r>
    </w:p>
    <w:p w:rsidR="006127E6" w:rsidRPr="006127E6" w:rsidRDefault="006127E6" w:rsidP="006127E6">
      <w:pPr>
        <w:rPr>
          <w:lang w:val="en-US"/>
        </w:rPr>
      </w:pPr>
      <w:r w:rsidRPr="006127E6">
        <w:rPr>
          <w:lang w:val="en-US"/>
        </w:rPr>
        <w:t xml:space="preserve">Accordingly, for those sovereigns we consider most at risk of an economic </w:t>
      </w:r>
    </w:p>
    <w:p w:rsidR="006127E6" w:rsidRPr="006127E6" w:rsidRDefault="006127E6" w:rsidP="006127E6">
      <w:pPr>
        <w:rPr>
          <w:lang w:val="en-US"/>
        </w:rPr>
      </w:pPr>
      <w:proofErr w:type="gramStart"/>
      <w:r w:rsidRPr="006127E6">
        <w:rPr>
          <w:lang w:val="en-US"/>
        </w:rPr>
        <w:t>downturn</w:t>
      </w:r>
      <w:proofErr w:type="gramEnd"/>
      <w:r w:rsidRPr="006127E6">
        <w:rPr>
          <w:lang w:val="en-US"/>
        </w:rPr>
        <w:t xml:space="preserve"> and deteriorating funding conditions, for example due to their large </w:t>
      </w:r>
    </w:p>
    <w:p w:rsidR="006127E6" w:rsidRPr="006127E6" w:rsidRDefault="006127E6" w:rsidP="006127E6">
      <w:pPr>
        <w:rPr>
          <w:lang w:val="en-US"/>
        </w:rPr>
      </w:pPr>
      <w:proofErr w:type="gramStart"/>
      <w:r w:rsidRPr="006127E6">
        <w:rPr>
          <w:lang w:val="en-US"/>
        </w:rPr>
        <w:t>cross-border</w:t>
      </w:r>
      <w:proofErr w:type="gramEnd"/>
      <w:r w:rsidRPr="006127E6">
        <w:rPr>
          <w:lang w:val="en-US"/>
        </w:rPr>
        <w:t xml:space="preserve"> financing needs, we have adjusted our external score downward. </w:t>
      </w:r>
    </w:p>
    <w:p w:rsidR="006127E6" w:rsidRPr="006127E6" w:rsidRDefault="006127E6" w:rsidP="006127E6">
      <w:pPr>
        <w:rPr>
          <w:lang w:val="en-US"/>
        </w:rPr>
      </w:pPr>
    </w:p>
    <w:p w:rsidR="006127E6" w:rsidRPr="005172FD" w:rsidRDefault="006127E6" w:rsidP="006127E6">
      <w:pPr>
        <w:rPr>
          <w:highlight w:val="yellow"/>
          <w:lang w:val="en-US"/>
        </w:rPr>
      </w:pPr>
      <w:r w:rsidRPr="006127E6">
        <w:rPr>
          <w:lang w:val="en-US"/>
        </w:rPr>
        <w:t xml:space="preserve">On the other hand, </w:t>
      </w:r>
      <w:r w:rsidRPr="005172FD">
        <w:rPr>
          <w:highlight w:val="yellow"/>
          <w:lang w:val="en-US"/>
        </w:rPr>
        <w:t xml:space="preserve">we believe that </w:t>
      </w:r>
      <w:proofErr w:type="spellStart"/>
      <w:r w:rsidRPr="005172FD">
        <w:rPr>
          <w:highlight w:val="yellow"/>
          <w:lang w:val="en-US"/>
        </w:rPr>
        <w:t>eurozone</w:t>
      </w:r>
      <w:proofErr w:type="spellEnd"/>
      <w:r w:rsidRPr="005172FD">
        <w:rPr>
          <w:highlight w:val="yellow"/>
          <w:lang w:val="en-US"/>
        </w:rPr>
        <w:t xml:space="preserve"> monetary authorities have been </w:t>
      </w:r>
    </w:p>
    <w:p w:rsidR="006127E6" w:rsidRPr="006127E6" w:rsidRDefault="006127E6" w:rsidP="006127E6">
      <w:pPr>
        <w:rPr>
          <w:lang w:val="en-US"/>
        </w:rPr>
      </w:pPr>
      <w:proofErr w:type="gramStart"/>
      <w:r w:rsidRPr="005172FD">
        <w:rPr>
          <w:highlight w:val="yellow"/>
          <w:lang w:val="en-US"/>
        </w:rPr>
        <w:t>instrumental</w:t>
      </w:r>
      <w:proofErr w:type="gramEnd"/>
      <w:r w:rsidRPr="005172FD">
        <w:rPr>
          <w:highlight w:val="yellow"/>
          <w:lang w:val="en-US"/>
        </w:rPr>
        <w:t xml:space="preserve"> in averting a collapse of market confidence.</w:t>
      </w:r>
      <w:r w:rsidRPr="006127E6">
        <w:rPr>
          <w:lang w:val="en-US"/>
        </w:rPr>
        <w:t xml:space="preserve"> We see that the </w:t>
      </w:r>
    </w:p>
    <w:p w:rsidR="006127E6" w:rsidRPr="006127E6" w:rsidRDefault="006127E6" w:rsidP="006127E6">
      <w:pPr>
        <w:rPr>
          <w:lang w:val="en-US"/>
        </w:rPr>
      </w:pPr>
      <w:r w:rsidRPr="006127E6">
        <w:rPr>
          <w:lang w:val="en-US"/>
        </w:rPr>
        <w:t xml:space="preserve">European Central Bank has successfully eased collateral requirements, allowing </w:t>
      </w:r>
    </w:p>
    <w:p w:rsidR="006127E6" w:rsidRPr="006127E6" w:rsidRDefault="006127E6" w:rsidP="006127E6">
      <w:pPr>
        <w:rPr>
          <w:lang w:val="en-US"/>
        </w:rPr>
      </w:pPr>
      <w:proofErr w:type="gramStart"/>
      <w:r w:rsidRPr="006127E6">
        <w:rPr>
          <w:lang w:val="en-US"/>
        </w:rPr>
        <w:t>an</w:t>
      </w:r>
      <w:proofErr w:type="gramEnd"/>
      <w:r w:rsidRPr="006127E6">
        <w:rPr>
          <w:lang w:val="en-US"/>
        </w:rPr>
        <w:t xml:space="preserve"> ever expanding pool of assets to be used as collateral for its funding </w:t>
      </w:r>
    </w:p>
    <w:p w:rsidR="006127E6" w:rsidRPr="006127E6" w:rsidRDefault="006127E6" w:rsidP="006127E6">
      <w:pPr>
        <w:rPr>
          <w:lang w:val="en-US"/>
        </w:rPr>
      </w:pPr>
      <w:proofErr w:type="gramStart"/>
      <w:r w:rsidRPr="006127E6">
        <w:rPr>
          <w:lang w:val="en-US"/>
        </w:rPr>
        <w:t>operations</w:t>
      </w:r>
      <w:proofErr w:type="gramEnd"/>
      <w:r w:rsidRPr="006127E6">
        <w:rPr>
          <w:lang w:val="en-US"/>
        </w:rPr>
        <w:t xml:space="preserve">, and has lowered the fixed rate to 1% on its main refinancing </w:t>
      </w:r>
    </w:p>
    <w:p w:rsidR="006127E6" w:rsidRPr="006127E6" w:rsidRDefault="006127E6" w:rsidP="006127E6">
      <w:pPr>
        <w:rPr>
          <w:lang w:val="en-US"/>
        </w:rPr>
      </w:pPr>
      <w:proofErr w:type="gramStart"/>
      <w:r w:rsidRPr="006127E6">
        <w:rPr>
          <w:lang w:val="en-US"/>
        </w:rPr>
        <w:t>operation</w:t>
      </w:r>
      <w:proofErr w:type="gramEnd"/>
      <w:r w:rsidRPr="006127E6">
        <w:rPr>
          <w:lang w:val="en-US"/>
        </w:rPr>
        <w:t xml:space="preserve">, an all-time low. Most importantly in our view, it has engaged in </w:t>
      </w:r>
    </w:p>
    <w:p w:rsidR="006127E6" w:rsidRPr="006127E6" w:rsidRDefault="006127E6" w:rsidP="006127E6">
      <w:pPr>
        <w:rPr>
          <w:lang w:val="en-US"/>
        </w:rPr>
      </w:pPr>
      <w:proofErr w:type="gramStart"/>
      <w:r w:rsidRPr="006127E6">
        <w:rPr>
          <w:lang w:val="en-US"/>
        </w:rPr>
        <w:t>unprecedented</w:t>
      </w:r>
      <w:proofErr w:type="gramEnd"/>
      <w:r w:rsidRPr="006127E6">
        <w:rPr>
          <w:lang w:val="en-US"/>
        </w:rPr>
        <w:t xml:space="preserve"> repurchase operations for financial institutions, greatly </w:t>
      </w:r>
    </w:p>
    <w:p w:rsidR="006127E6" w:rsidRPr="006127E6" w:rsidRDefault="006127E6" w:rsidP="006127E6">
      <w:pPr>
        <w:rPr>
          <w:lang w:val="en-US"/>
        </w:rPr>
      </w:pPr>
      <w:proofErr w:type="gramStart"/>
      <w:r w:rsidRPr="006127E6">
        <w:rPr>
          <w:lang w:val="en-US"/>
        </w:rPr>
        <w:t>relieving</w:t>
      </w:r>
      <w:proofErr w:type="gramEnd"/>
      <w:r w:rsidRPr="006127E6">
        <w:rPr>
          <w:lang w:val="en-US"/>
        </w:rPr>
        <w:t xml:space="preserve"> the near-term funding pressures for banks. Accordingly we did not </w:t>
      </w:r>
    </w:p>
    <w:p w:rsidR="006127E6" w:rsidRPr="006127E6" w:rsidRDefault="006127E6" w:rsidP="006127E6">
      <w:pPr>
        <w:rPr>
          <w:lang w:val="en-US"/>
        </w:rPr>
      </w:pPr>
      <w:proofErr w:type="gramStart"/>
      <w:r w:rsidRPr="006127E6">
        <w:rPr>
          <w:lang w:val="en-US"/>
        </w:rPr>
        <w:t>adjust</w:t>
      </w:r>
      <w:proofErr w:type="gramEnd"/>
      <w:r w:rsidRPr="006127E6">
        <w:rPr>
          <w:lang w:val="en-US"/>
        </w:rPr>
        <w:t xml:space="preserve"> the initial monetary score on any of the 16 sovereigns under review.</w:t>
      </w:r>
    </w:p>
    <w:p w:rsidR="006127E6" w:rsidRPr="006127E6" w:rsidRDefault="006127E6" w:rsidP="006127E6">
      <w:pPr>
        <w:rPr>
          <w:lang w:val="en-US"/>
        </w:rPr>
      </w:pPr>
    </w:p>
    <w:p w:rsidR="006127E6" w:rsidRPr="006127E6" w:rsidRDefault="006127E6" w:rsidP="006127E6">
      <w:pPr>
        <w:rPr>
          <w:lang w:val="en-US"/>
        </w:rPr>
      </w:pPr>
      <w:r w:rsidRPr="006127E6">
        <w:rPr>
          <w:lang w:val="en-US"/>
        </w:rPr>
        <w:t xml:space="preserve">Moreover, we affirmed the ratings on the seven </w:t>
      </w:r>
      <w:proofErr w:type="spellStart"/>
      <w:r w:rsidRPr="006127E6">
        <w:rPr>
          <w:lang w:val="en-US"/>
        </w:rPr>
        <w:t>eurozone</w:t>
      </w:r>
      <w:proofErr w:type="spellEnd"/>
      <w:r w:rsidRPr="006127E6">
        <w:rPr>
          <w:lang w:val="en-US"/>
        </w:rPr>
        <w:t xml:space="preserve"> sovereigns that we </w:t>
      </w:r>
    </w:p>
    <w:p w:rsidR="006127E6" w:rsidRPr="006127E6" w:rsidRDefault="006127E6" w:rsidP="006127E6">
      <w:pPr>
        <w:rPr>
          <w:lang w:val="en-US"/>
        </w:rPr>
      </w:pPr>
      <w:proofErr w:type="gramStart"/>
      <w:r w:rsidRPr="006127E6">
        <w:rPr>
          <w:lang w:val="en-US"/>
        </w:rPr>
        <w:t>believe</w:t>
      </w:r>
      <w:proofErr w:type="gramEnd"/>
      <w:r w:rsidRPr="006127E6">
        <w:rPr>
          <w:lang w:val="en-US"/>
        </w:rPr>
        <w:t xml:space="preserve"> are likely to be more resilient in light of their relatively strong </w:t>
      </w:r>
    </w:p>
    <w:p w:rsidR="006127E6" w:rsidRPr="006127E6" w:rsidRDefault="006127E6" w:rsidP="006127E6">
      <w:pPr>
        <w:rPr>
          <w:lang w:val="en-US"/>
        </w:rPr>
      </w:pPr>
      <w:proofErr w:type="gramStart"/>
      <w:r w:rsidRPr="006127E6">
        <w:rPr>
          <w:lang w:val="en-US"/>
        </w:rPr>
        <w:t>external</w:t>
      </w:r>
      <w:proofErr w:type="gramEnd"/>
      <w:r w:rsidRPr="006127E6">
        <w:rPr>
          <w:lang w:val="en-US"/>
        </w:rPr>
        <w:t xml:space="preserve"> positions and less leveraged public and private sectors. </w:t>
      </w:r>
      <w:proofErr w:type="gramStart"/>
      <w:r w:rsidRPr="006127E6">
        <w:rPr>
          <w:lang w:val="en-US"/>
        </w:rPr>
        <w:t>These credit</w:t>
      </w:r>
      <w:proofErr w:type="gramEnd"/>
      <w:r w:rsidRPr="006127E6">
        <w:rPr>
          <w:lang w:val="en-US"/>
        </w:rPr>
        <w:t xml:space="preserve"> </w:t>
      </w:r>
    </w:p>
    <w:p w:rsidR="006127E6" w:rsidRPr="006127E6" w:rsidRDefault="006127E6" w:rsidP="006127E6">
      <w:pPr>
        <w:rPr>
          <w:lang w:val="en-US"/>
        </w:rPr>
      </w:pPr>
      <w:proofErr w:type="gramStart"/>
      <w:r w:rsidRPr="006127E6">
        <w:rPr>
          <w:lang w:val="en-US"/>
        </w:rPr>
        <w:t>strengths</w:t>
      </w:r>
      <w:proofErr w:type="gramEnd"/>
      <w:r w:rsidRPr="006127E6">
        <w:rPr>
          <w:lang w:val="en-US"/>
        </w:rPr>
        <w:t xml:space="preserve"> remain robust enough, in our opinion, to </w:t>
      </w:r>
      <w:proofErr w:type="spellStart"/>
      <w:r w:rsidRPr="006127E6">
        <w:rPr>
          <w:lang w:val="en-US"/>
        </w:rPr>
        <w:t>neutralise</w:t>
      </w:r>
      <w:proofErr w:type="spellEnd"/>
      <w:r w:rsidRPr="006127E6">
        <w:rPr>
          <w:lang w:val="en-US"/>
        </w:rPr>
        <w:t xml:space="preserve"> the potential </w:t>
      </w:r>
    </w:p>
    <w:p w:rsidR="006127E6" w:rsidRPr="006127E6" w:rsidRDefault="006127E6" w:rsidP="006127E6">
      <w:pPr>
        <w:rPr>
          <w:lang w:val="en-US"/>
        </w:rPr>
      </w:pPr>
      <w:proofErr w:type="gramStart"/>
      <w:r w:rsidRPr="006127E6">
        <w:rPr>
          <w:lang w:val="en-US"/>
        </w:rPr>
        <w:t>ratings</w:t>
      </w:r>
      <w:proofErr w:type="gramEnd"/>
      <w:r w:rsidRPr="006127E6">
        <w:rPr>
          <w:lang w:val="en-US"/>
        </w:rPr>
        <w:t xml:space="preserve"> impact from the lowering of our political score. </w:t>
      </w:r>
    </w:p>
    <w:p w:rsidR="006127E6" w:rsidRPr="006127E6" w:rsidRDefault="006127E6" w:rsidP="006127E6">
      <w:pPr>
        <w:rPr>
          <w:lang w:val="en-US"/>
        </w:rPr>
      </w:pPr>
    </w:p>
    <w:p w:rsidR="006127E6" w:rsidRPr="006127E6" w:rsidRDefault="006127E6" w:rsidP="006127E6">
      <w:pPr>
        <w:rPr>
          <w:lang w:val="en-US"/>
        </w:rPr>
      </w:pPr>
      <w:r w:rsidRPr="006127E6">
        <w:rPr>
          <w:lang w:val="en-US"/>
        </w:rPr>
        <w:lastRenderedPageBreak/>
        <w:t xml:space="preserve">However, for those sovereigns with negative outlooks, we believe that downside </w:t>
      </w:r>
    </w:p>
    <w:p w:rsidR="006127E6" w:rsidRPr="006127E6" w:rsidRDefault="006127E6" w:rsidP="006127E6">
      <w:pPr>
        <w:rPr>
          <w:lang w:val="en-US"/>
        </w:rPr>
      </w:pPr>
      <w:proofErr w:type="gramStart"/>
      <w:r w:rsidRPr="006127E6">
        <w:rPr>
          <w:lang w:val="en-US"/>
        </w:rPr>
        <w:t>risks</w:t>
      </w:r>
      <w:proofErr w:type="gramEnd"/>
      <w:r w:rsidRPr="006127E6">
        <w:rPr>
          <w:lang w:val="en-US"/>
        </w:rPr>
        <w:t xml:space="preserve"> persist and that a more adverse economic and financial environment could </w:t>
      </w:r>
    </w:p>
    <w:p w:rsidR="006127E6" w:rsidRPr="006127E6" w:rsidRDefault="006127E6" w:rsidP="006127E6">
      <w:pPr>
        <w:rPr>
          <w:lang w:val="en-US"/>
        </w:rPr>
      </w:pPr>
      <w:proofErr w:type="gramStart"/>
      <w:r w:rsidRPr="006127E6">
        <w:rPr>
          <w:lang w:val="en-US"/>
        </w:rPr>
        <w:t>erode</w:t>
      </w:r>
      <w:proofErr w:type="gramEnd"/>
      <w:r w:rsidRPr="006127E6">
        <w:rPr>
          <w:lang w:val="en-US"/>
        </w:rPr>
        <w:t xml:space="preserve"> their relative strengths within the next year or two to a degree that in </w:t>
      </w:r>
    </w:p>
    <w:p w:rsidR="006127E6" w:rsidRPr="006127E6" w:rsidRDefault="006127E6" w:rsidP="006127E6">
      <w:pPr>
        <w:rPr>
          <w:lang w:val="en-US"/>
        </w:rPr>
      </w:pPr>
      <w:proofErr w:type="gramStart"/>
      <w:r w:rsidRPr="006127E6">
        <w:rPr>
          <w:lang w:val="en-US"/>
        </w:rPr>
        <w:t>our</w:t>
      </w:r>
      <w:proofErr w:type="gramEnd"/>
      <w:r w:rsidRPr="006127E6">
        <w:rPr>
          <w:lang w:val="en-US"/>
        </w:rPr>
        <w:t xml:space="preserve"> view could warrant a further downward revision of their long-term ratings. </w:t>
      </w:r>
    </w:p>
    <w:p w:rsidR="006127E6" w:rsidRPr="006127E6" w:rsidRDefault="006127E6" w:rsidP="006127E6">
      <w:pPr>
        <w:rPr>
          <w:lang w:val="en-US"/>
        </w:rPr>
      </w:pPr>
    </w:p>
    <w:p w:rsidR="006127E6" w:rsidRPr="006127E6" w:rsidRDefault="006127E6" w:rsidP="006127E6">
      <w:pPr>
        <w:rPr>
          <w:lang w:val="en-US"/>
        </w:rPr>
      </w:pPr>
      <w:r w:rsidRPr="006127E6">
        <w:rPr>
          <w:lang w:val="en-US"/>
        </w:rPr>
        <w:t xml:space="preserve">We believe that the </w:t>
      </w:r>
      <w:r w:rsidRPr="005172FD">
        <w:rPr>
          <w:highlight w:val="yellow"/>
          <w:lang w:val="en-US"/>
        </w:rPr>
        <w:t>main downside risks</w:t>
      </w:r>
      <w:r w:rsidRPr="006127E6">
        <w:rPr>
          <w:lang w:val="en-US"/>
        </w:rPr>
        <w:t xml:space="preserve"> that could affect </w:t>
      </w:r>
      <w:proofErr w:type="spellStart"/>
      <w:r w:rsidRPr="006127E6">
        <w:rPr>
          <w:lang w:val="en-US"/>
        </w:rPr>
        <w:t>eurozone</w:t>
      </w:r>
      <w:proofErr w:type="spellEnd"/>
      <w:r w:rsidRPr="006127E6">
        <w:rPr>
          <w:lang w:val="en-US"/>
        </w:rPr>
        <w:t xml:space="preserve"> sovereigns </w:t>
      </w:r>
    </w:p>
    <w:p w:rsidR="006127E6" w:rsidRPr="005172FD" w:rsidRDefault="006127E6" w:rsidP="006127E6">
      <w:pPr>
        <w:rPr>
          <w:highlight w:val="yellow"/>
          <w:lang w:val="en-US"/>
        </w:rPr>
      </w:pPr>
      <w:proofErr w:type="gramStart"/>
      <w:r w:rsidRPr="006127E6">
        <w:rPr>
          <w:lang w:val="en-US"/>
        </w:rPr>
        <w:t>to</w:t>
      </w:r>
      <w:proofErr w:type="gramEnd"/>
      <w:r w:rsidRPr="006127E6">
        <w:rPr>
          <w:lang w:val="en-US"/>
        </w:rPr>
        <w:t xml:space="preserve"> various degrees </w:t>
      </w:r>
      <w:r w:rsidRPr="005172FD">
        <w:rPr>
          <w:highlight w:val="yellow"/>
          <w:lang w:val="en-US"/>
        </w:rPr>
        <w:t xml:space="preserve">are related to the possibility of further significant </w:t>
      </w:r>
    </w:p>
    <w:p w:rsidR="006127E6" w:rsidRPr="005172FD" w:rsidRDefault="006127E6" w:rsidP="006127E6">
      <w:pPr>
        <w:rPr>
          <w:highlight w:val="yellow"/>
          <w:lang w:val="en-US"/>
        </w:rPr>
      </w:pPr>
      <w:proofErr w:type="gramStart"/>
      <w:r w:rsidRPr="005172FD">
        <w:rPr>
          <w:highlight w:val="yellow"/>
          <w:lang w:val="en-US"/>
        </w:rPr>
        <w:t>fiscal</w:t>
      </w:r>
      <w:proofErr w:type="gramEnd"/>
      <w:r w:rsidRPr="005172FD">
        <w:rPr>
          <w:highlight w:val="yellow"/>
          <w:lang w:val="en-US"/>
        </w:rPr>
        <w:t xml:space="preserve"> deterioration as a consequence of a more recessionary macroeconomic </w:t>
      </w:r>
    </w:p>
    <w:p w:rsidR="006127E6" w:rsidRPr="006127E6" w:rsidRDefault="006127E6" w:rsidP="006127E6">
      <w:pPr>
        <w:rPr>
          <w:lang w:val="en-US"/>
        </w:rPr>
      </w:pPr>
      <w:proofErr w:type="gramStart"/>
      <w:r w:rsidRPr="005172FD">
        <w:rPr>
          <w:highlight w:val="yellow"/>
          <w:lang w:val="en-US"/>
        </w:rPr>
        <w:t>environment</w:t>
      </w:r>
      <w:proofErr w:type="gramEnd"/>
      <w:r w:rsidRPr="006127E6">
        <w:rPr>
          <w:lang w:val="en-US"/>
        </w:rPr>
        <w:t xml:space="preserve"> and/or vulnerabilities to further intensification and broadening </w:t>
      </w:r>
    </w:p>
    <w:p w:rsidR="006127E6" w:rsidRPr="006127E6" w:rsidRDefault="006127E6" w:rsidP="006127E6">
      <w:pPr>
        <w:rPr>
          <w:lang w:val="en-US"/>
        </w:rPr>
      </w:pPr>
      <w:proofErr w:type="gramStart"/>
      <w:r w:rsidRPr="006127E6">
        <w:rPr>
          <w:lang w:val="en-US"/>
        </w:rPr>
        <w:t>of</w:t>
      </w:r>
      <w:proofErr w:type="gramEnd"/>
      <w:r w:rsidRPr="006127E6">
        <w:rPr>
          <w:lang w:val="en-US"/>
        </w:rPr>
        <w:t xml:space="preserve"> risk aversion among investors, jeopardizing funding access at sustainable </w:t>
      </w:r>
    </w:p>
    <w:p w:rsidR="006127E6" w:rsidRPr="006127E6" w:rsidRDefault="006127E6" w:rsidP="006127E6">
      <w:pPr>
        <w:rPr>
          <w:lang w:val="en-US"/>
        </w:rPr>
      </w:pPr>
      <w:proofErr w:type="gramStart"/>
      <w:r w:rsidRPr="006127E6">
        <w:rPr>
          <w:lang w:val="en-US"/>
        </w:rPr>
        <w:t>rates</w:t>
      </w:r>
      <w:proofErr w:type="gramEnd"/>
      <w:r w:rsidRPr="006127E6">
        <w:rPr>
          <w:lang w:val="en-US"/>
        </w:rPr>
        <w:t xml:space="preserve">. A more severe financial and economic downturn than we currently </w:t>
      </w:r>
    </w:p>
    <w:p w:rsidR="006127E6" w:rsidRPr="006127E6" w:rsidRDefault="006127E6" w:rsidP="006127E6">
      <w:pPr>
        <w:rPr>
          <w:lang w:val="en-US"/>
        </w:rPr>
      </w:pPr>
      <w:proofErr w:type="gramStart"/>
      <w:r w:rsidRPr="006127E6">
        <w:rPr>
          <w:lang w:val="en-US"/>
        </w:rPr>
        <w:t>envisage</w:t>
      </w:r>
      <w:proofErr w:type="gramEnd"/>
      <w:r w:rsidRPr="006127E6">
        <w:rPr>
          <w:lang w:val="en-US"/>
        </w:rPr>
        <w:t xml:space="preserve"> (see "Sovereign Risk Indicators", published Dec. 28, 2011) could also </w:t>
      </w:r>
    </w:p>
    <w:p w:rsidR="006127E6" w:rsidRPr="006127E6" w:rsidRDefault="006127E6" w:rsidP="006127E6">
      <w:pPr>
        <w:rPr>
          <w:lang w:val="en-US"/>
        </w:rPr>
      </w:pPr>
      <w:proofErr w:type="gramStart"/>
      <w:r w:rsidRPr="006127E6">
        <w:rPr>
          <w:lang w:val="en-US"/>
        </w:rPr>
        <w:t>lead</w:t>
      </w:r>
      <w:proofErr w:type="gramEnd"/>
      <w:r w:rsidRPr="006127E6">
        <w:rPr>
          <w:lang w:val="en-US"/>
        </w:rPr>
        <w:t xml:space="preserve"> to rising stress levels in the European banking system, potentially </w:t>
      </w:r>
    </w:p>
    <w:p w:rsidR="006127E6" w:rsidRPr="006127E6" w:rsidRDefault="006127E6" w:rsidP="006127E6">
      <w:pPr>
        <w:rPr>
          <w:lang w:val="en-US"/>
        </w:rPr>
      </w:pPr>
      <w:proofErr w:type="gramStart"/>
      <w:r w:rsidRPr="006127E6">
        <w:rPr>
          <w:lang w:val="en-US"/>
        </w:rPr>
        <w:t>leading</w:t>
      </w:r>
      <w:proofErr w:type="gramEnd"/>
      <w:r w:rsidRPr="006127E6">
        <w:rPr>
          <w:lang w:val="en-US"/>
        </w:rPr>
        <w:t xml:space="preserve"> to additional fiscal costs for the sovereigns through various bank </w:t>
      </w:r>
    </w:p>
    <w:p w:rsidR="006127E6" w:rsidRPr="006127E6" w:rsidRDefault="006127E6" w:rsidP="006127E6">
      <w:pPr>
        <w:rPr>
          <w:lang w:val="en-US"/>
        </w:rPr>
      </w:pPr>
      <w:proofErr w:type="gramStart"/>
      <w:r w:rsidRPr="006127E6">
        <w:rPr>
          <w:lang w:val="en-US"/>
        </w:rPr>
        <w:t>workout</w:t>
      </w:r>
      <w:proofErr w:type="gramEnd"/>
      <w:r w:rsidRPr="006127E6">
        <w:rPr>
          <w:lang w:val="en-US"/>
        </w:rPr>
        <w:t xml:space="preserve"> or recapitalization programs. Furthermore, we believe that there is a </w:t>
      </w:r>
    </w:p>
    <w:p w:rsidR="006127E6" w:rsidRPr="005172FD" w:rsidRDefault="006127E6" w:rsidP="006127E6">
      <w:pPr>
        <w:rPr>
          <w:highlight w:val="yellow"/>
          <w:lang w:val="en-US"/>
        </w:rPr>
      </w:pPr>
      <w:proofErr w:type="gramStart"/>
      <w:r w:rsidRPr="006127E6">
        <w:rPr>
          <w:lang w:val="en-US"/>
        </w:rPr>
        <w:t>risk</w:t>
      </w:r>
      <w:proofErr w:type="gramEnd"/>
      <w:r w:rsidRPr="006127E6">
        <w:rPr>
          <w:lang w:val="en-US"/>
        </w:rPr>
        <w:t xml:space="preserve"> </w:t>
      </w:r>
      <w:r w:rsidRPr="005172FD">
        <w:rPr>
          <w:highlight w:val="yellow"/>
          <w:lang w:val="en-US"/>
        </w:rPr>
        <w:t xml:space="preserve">that reform fatigue could be mounting, especially in those countries that </w:t>
      </w:r>
    </w:p>
    <w:p w:rsidR="006127E6" w:rsidRPr="005172FD" w:rsidRDefault="006127E6" w:rsidP="006127E6">
      <w:pPr>
        <w:rPr>
          <w:highlight w:val="yellow"/>
          <w:lang w:val="en-US"/>
        </w:rPr>
      </w:pPr>
      <w:proofErr w:type="gramStart"/>
      <w:r w:rsidRPr="005172FD">
        <w:rPr>
          <w:highlight w:val="yellow"/>
          <w:lang w:val="en-US"/>
        </w:rPr>
        <w:t>have</w:t>
      </w:r>
      <w:proofErr w:type="gramEnd"/>
      <w:r w:rsidRPr="005172FD">
        <w:rPr>
          <w:highlight w:val="yellow"/>
          <w:lang w:val="en-US"/>
        </w:rPr>
        <w:t xml:space="preserve"> experienced deep recessions and where growth prospects remain bleak, </w:t>
      </w:r>
    </w:p>
    <w:p w:rsidR="006127E6" w:rsidRPr="005172FD" w:rsidRDefault="006127E6" w:rsidP="006127E6">
      <w:pPr>
        <w:rPr>
          <w:highlight w:val="yellow"/>
          <w:lang w:val="en-US"/>
        </w:rPr>
      </w:pPr>
      <w:proofErr w:type="gramStart"/>
      <w:r w:rsidRPr="005172FD">
        <w:rPr>
          <w:highlight w:val="yellow"/>
          <w:lang w:val="en-US"/>
        </w:rPr>
        <w:t>which</w:t>
      </w:r>
      <w:proofErr w:type="gramEnd"/>
      <w:r w:rsidRPr="005172FD">
        <w:rPr>
          <w:highlight w:val="yellow"/>
          <w:lang w:val="en-US"/>
        </w:rPr>
        <w:t xml:space="preserve"> could eventually lead us to the view that lower levels of predictability </w:t>
      </w:r>
    </w:p>
    <w:p w:rsidR="006127E6" w:rsidRPr="006127E6" w:rsidRDefault="006127E6" w:rsidP="006127E6">
      <w:pPr>
        <w:rPr>
          <w:lang w:val="en-US"/>
        </w:rPr>
      </w:pPr>
      <w:proofErr w:type="gramStart"/>
      <w:r w:rsidRPr="005172FD">
        <w:rPr>
          <w:highlight w:val="yellow"/>
          <w:lang w:val="en-US"/>
        </w:rPr>
        <w:t>exist</w:t>
      </w:r>
      <w:proofErr w:type="gramEnd"/>
      <w:r w:rsidRPr="005172FD">
        <w:rPr>
          <w:highlight w:val="yellow"/>
          <w:lang w:val="en-US"/>
        </w:rPr>
        <w:t xml:space="preserve"> in policy orientation</w:t>
      </w:r>
      <w:r w:rsidRPr="006127E6">
        <w:rPr>
          <w:lang w:val="en-US"/>
        </w:rPr>
        <w:t xml:space="preserve">, and thus to a further downward adjustment of our </w:t>
      </w:r>
    </w:p>
    <w:p w:rsidR="006127E6" w:rsidRPr="006127E6" w:rsidRDefault="006127E6" w:rsidP="006127E6">
      <w:pPr>
        <w:rPr>
          <w:lang w:val="en-US"/>
        </w:rPr>
      </w:pPr>
      <w:proofErr w:type="gramStart"/>
      <w:r w:rsidRPr="006127E6">
        <w:rPr>
          <w:lang w:val="en-US"/>
        </w:rPr>
        <w:t>political</w:t>
      </w:r>
      <w:proofErr w:type="gramEnd"/>
      <w:r w:rsidRPr="006127E6">
        <w:rPr>
          <w:lang w:val="en-US"/>
        </w:rPr>
        <w:t xml:space="preserve"> score. </w:t>
      </w:r>
    </w:p>
    <w:p w:rsidR="006127E6" w:rsidRPr="006127E6" w:rsidRDefault="006127E6" w:rsidP="006127E6">
      <w:pPr>
        <w:rPr>
          <w:lang w:val="en-US"/>
        </w:rPr>
      </w:pPr>
    </w:p>
    <w:p w:rsidR="006127E6" w:rsidRPr="006127E6" w:rsidRDefault="006127E6" w:rsidP="006127E6">
      <w:pPr>
        <w:rPr>
          <w:lang w:val="en-US"/>
        </w:rPr>
      </w:pPr>
      <w:r w:rsidRPr="006127E6">
        <w:rPr>
          <w:lang w:val="en-US"/>
        </w:rPr>
        <w:t xml:space="preserve">Finally, while we currently assess the monetary authorities' response to the </w:t>
      </w:r>
    </w:p>
    <w:p w:rsidR="006127E6" w:rsidRPr="006127E6" w:rsidRDefault="006127E6" w:rsidP="006127E6">
      <w:pPr>
        <w:rPr>
          <w:lang w:val="en-US"/>
        </w:rPr>
      </w:pPr>
      <w:proofErr w:type="spellStart"/>
      <w:proofErr w:type="gramStart"/>
      <w:r w:rsidRPr="006127E6">
        <w:rPr>
          <w:lang w:val="en-US"/>
        </w:rPr>
        <w:t>eurozone's</w:t>
      </w:r>
      <w:proofErr w:type="spellEnd"/>
      <w:proofErr w:type="gramEnd"/>
      <w:r w:rsidRPr="006127E6">
        <w:rPr>
          <w:lang w:val="en-US"/>
        </w:rPr>
        <w:t xml:space="preserve"> financial problems as broadly adequate, our view could change as </w:t>
      </w:r>
    </w:p>
    <w:p w:rsidR="006127E6" w:rsidRPr="006127E6" w:rsidRDefault="006127E6" w:rsidP="006127E6">
      <w:pPr>
        <w:rPr>
          <w:lang w:val="en-US"/>
        </w:rPr>
      </w:pPr>
      <w:proofErr w:type="gramStart"/>
      <w:r w:rsidRPr="006127E6">
        <w:rPr>
          <w:lang w:val="en-US"/>
        </w:rPr>
        <w:t>the</w:t>
      </w:r>
      <w:proofErr w:type="gramEnd"/>
      <w:r w:rsidRPr="006127E6">
        <w:rPr>
          <w:lang w:val="en-US"/>
        </w:rPr>
        <w:t xml:space="preserve"> crisis and the response to it evolves. If we lowered our initial monetary </w:t>
      </w:r>
    </w:p>
    <w:p w:rsidR="006127E6" w:rsidRPr="006127E6" w:rsidRDefault="006127E6" w:rsidP="006127E6">
      <w:pPr>
        <w:rPr>
          <w:lang w:val="en-US"/>
        </w:rPr>
      </w:pPr>
      <w:proofErr w:type="gramStart"/>
      <w:r w:rsidRPr="006127E6">
        <w:rPr>
          <w:lang w:val="en-US"/>
        </w:rPr>
        <w:t>score</w:t>
      </w:r>
      <w:proofErr w:type="gramEnd"/>
      <w:r w:rsidRPr="006127E6">
        <w:rPr>
          <w:lang w:val="en-US"/>
        </w:rPr>
        <w:t xml:space="preserve"> for all </w:t>
      </w:r>
      <w:proofErr w:type="spellStart"/>
      <w:r w:rsidRPr="006127E6">
        <w:rPr>
          <w:lang w:val="en-US"/>
        </w:rPr>
        <w:t>eurozone</w:t>
      </w:r>
      <w:proofErr w:type="spellEnd"/>
      <w:r w:rsidRPr="006127E6">
        <w:rPr>
          <w:lang w:val="en-US"/>
        </w:rPr>
        <w:t xml:space="preserve"> sovereigns as a result, this could have negative </w:t>
      </w:r>
    </w:p>
    <w:p w:rsidR="006127E6" w:rsidRPr="006127E6" w:rsidRDefault="006127E6" w:rsidP="006127E6">
      <w:pPr>
        <w:rPr>
          <w:lang w:val="en-US"/>
        </w:rPr>
      </w:pPr>
      <w:proofErr w:type="gramStart"/>
      <w:r w:rsidRPr="006127E6">
        <w:rPr>
          <w:lang w:val="en-US"/>
        </w:rPr>
        <w:t>consequences</w:t>
      </w:r>
      <w:proofErr w:type="gramEnd"/>
      <w:r w:rsidRPr="006127E6">
        <w:rPr>
          <w:lang w:val="en-US"/>
        </w:rPr>
        <w:t xml:space="preserve"> for the ratings on a number of countries.</w:t>
      </w:r>
    </w:p>
    <w:p w:rsidR="006127E6" w:rsidRPr="006127E6" w:rsidRDefault="006127E6" w:rsidP="006127E6">
      <w:pPr>
        <w:rPr>
          <w:lang w:val="en-US"/>
        </w:rPr>
      </w:pPr>
    </w:p>
    <w:p w:rsidR="006127E6" w:rsidRPr="006127E6" w:rsidRDefault="006127E6" w:rsidP="006127E6">
      <w:pPr>
        <w:rPr>
          <w:lang w:val="en-US"/>
        </w:rPr>
      </w:pPr>
      <w:r w:rsidRPr="006127E6">
        <w:rPr>
          <w:lang w:val="en-US"/>
        </w:rPr>
        <w:t xml:space="preserve">In this context, we would note that the ratings on the </w:t>
      </w:r>
      <w:proofErr w:type="spellStart"/>
      <w:r w:rsidRPr="006127E6">
        <w:rPr>
          <w:lang w:val="en-US"/>
        </w:rPr>
        <w:t>eurozone</w:t>
      </w:r>
      <w:proofErr w:type="spellEnd"/>
      <w:r w:rsidRPr="006127E6">
        <w:rPr>
          <w:lang w:val="en-US"/>
        </w:rPr>
        <w:t xml:space="preserve"> sovereigns </w:t>
      </w:r>
    </w:p>
    <w:p w:rsidR="006127E6" w:rsidRPr="006127E6" w:rsidRDefault="006127E6" w:rsidP="006127E6">
      <w:pPr>
        <w:rPr>
          <w:lang w:val="en-US"/>
        </w:rPr>
      </w:pPr>
      <w:proofErr w:type="gramStart"/>
      <w:r w:rsidRPr="006127E6">
        <w:rPr>
          <w:lang w:val="en-US"/>
        </w:rPr>
        <w:t>remain</w:t>
      </w:r>
      <w:proofErr w:type="gramEnd"/>
      <w:r w:rsidRPr="006127E6">
        <w:rPr>
          <w:lang w:val="en-US"/>
        </w:rPr>
        <w:t xml:space="preserve"> at comparatively high levels, with only three below investment grade </w:t>
      </w:r>
    </w:p>
    <w:p w:rsidR="006127E6" w:rsidRPr="006127E6" w:rsidRDefault="006127E6" w:rsidP="006127E6">
      <w:pPr>
        <w:rPr>
          <w:lang w:val="en-US"/>
        </w:rPr>
      </w:pPr>
      <w:proofErr w:type="gramStart"/>
      <w:r w:rsidRPr="006127E6">
        <w:rPr>
          <w:lang w:val="en-US"/>
        </w:rPr>
        <w:t>(Portugal, Cyprus, and Greece).</w:t>
      </w:r>
      <w:proofErr w:type="gramEnd"/>
      <w:r w:rsidRPr="006127E6">
        <w:rPr>
          <w:lang w:val="en-US"/>
        </w:rPr>
        <w:t xml:space="preserve"> Historically, investment-grade-rated </w:t>
      </w:r>
    </w:p>
    <w:p w:rsidR="006127E6" w:rsidRDefault="006127E6" w:rsidP="006127E6">
      <w:proofErr w:type="gramStart"/>
      <w:r w:rsidRPr="006127E6">
        <w:rPr>
          <w:lang w:val="en-US"/>
        </w:rPr>
        <w:t>sovereigns</w:t>
      </w:r>
      <w:proofErr w:type="gramEnd"/>
      <w:r w:rsidRPr="006127E6">
        <w:rPr>
          <w:lang w:val="en-US"/>
        </w:rPr>
        <w:t xml:space="preserve"> have experienced very low default rates. </w:t>
      </w:r>
      <w:proofErr w:type="spellStart"/>
      <w:r>
        <w:t>From</w:t>
      </w:r>
      <w:proofErr w:type="spellEnd"/>
      <w:r>
        <w:t xml:space="preserve"> 1975 to 2010, the </w:t>
      </w:r>
    </w:p>
    <w:p w:rsidR="006127E6" w:rsidRPr="006127E6" w:rsidRDefault="006127E6" w:rsidP="006127E6">
      <w:pPr>
        <w:rPr>
          <w:lang w:val="en-US"/>
        </w:rPr>
      </w:pPr>
      <w:r w:rsidRPr="006127E6">
        <w:rPr>
          <w:lang w:val="en-US"/>
        </w:rPr>
        <w:t xml:space="preserve">15-year cumulative default rate for sovereigns rated in investment grade was </w:t>
      </w:r>
    </w:p>
    <w:p w:rsidR="006127E6" w:rsidRDefault="006127E6" w:rsidP="006127E6">
      <w:proofErr w:type="gramStart"/>
      <w:r w:rsidRPr="006127E6">
        <w:rPr>
          <w:lang w:val="en-US"/>
        </w:rPr>
        <w:t>1.02%,</w:t>
      </w:r>
      <w:proofErr w:type="gramEnd"/>
      <w:r w:rsidRPr="006127E6">
        <w:rPr>
          <w:lang w:val="en-US"/>
        </w:rPr>
        <w:t xml:space="preserve"> and 0.00% for sovereigns rated in the 'A' category or higher. </w:t>
      </w:r>
      <w:proofErr w:type="spellStart"/>
      <w:r>
        <w:t>During</w:t>
      </w:r>
      <w:proofErr w:type="spellEnd"/>
      <w:r>
        <w:t xml:space="preserve"> </w:t>
      </w:r>
    </w:p>
    <w:p w:rsidR="006127E6" w:rsidRPr="006127E6" w:rsidRDefault="006127E6" w:rsidP="006127E6">
      <w:pPr>
        <w:rPr>
          <w:lang w:val="en-US"/>
        </w:rPr>
      </w:pPr>
      <w:proofErr w:type="gramStart"/>
      <w:r w:rsidRPr="006127E6">
        <w:rPr>
          <w:lang w:val="en-US"/>
        </w:rPr>
        <w:t>this</w:t>
      </w:r>
      <w:proofErr w:type="gramEnd"/>
      <w:r w:rsidRPr="006127E6">
        <w:rPr>
          <w:lang w:val="en-US"/>
        </w:rPr>
        <w:t xml:space="preserve"> period, 97.78% of sovereigns rated 'AAA' at the beginning of the year </w:t>
      </w:r>
    </w:p>
    <w:p w:rsidR="006127E6" w:rsidRPr="006127E6" w:rsidRDefault="006127E6" w:rsidP="006127E6">
      <w:pPr>
        <w:rPr>
          <w:lang w:val="en-US"/>
        </w:rPr>
      </w:pPr>
      <w:proofErr w:type="gramStart"/>
      <w:r w:rsidRPr="006127E6">
        <w:rPr>
          <w:lang w:val="en-US"/>
        </w:rPr>
        <w:t>retained</w:t>
      </w:r>
      <w:proofErr w:type="gramEnd"/>
      <w:r w:rsidRPr="006127E6">
        <w:rPr>
          <w:lang w:val="en-US"/>
        </w:rPr>
        <w:t xml:space="preserve"> their rating at the end of the year.  </w:t>
      </w:r>
    </w:p>
    <w:p w:rsidR="006127E6" w:rsidRPr="006127E6" w:rsidRDefault="006127E6" w:rsidP="006127E6">
      <w:pPr>
        <w:rPr>
          <w:lang w:val="en-US"/>
        </w:rPr>
      </w:pPr>
    </w:p>
    <w:p w:rsidR="006127E6" w:rsidRPr="006127E6" w:rsidRDefault="006127E6" w:rsidP="006127E6">
      <w:pPr>
        <w:rPr>
          <w:lang w:val="en-US"/>
        </w:rPr>
      </w:pPr>
      <w:r w:rsidRPr="006127E6">
        <w:rPr>
          <w:lang w:val="en-US"/>
        </w:rPr>
        <w:t xml:space="preserve">Following today's rating actions, Standard &amp; Poor's will issue separate media </w:t>
      </w:r>
    </w:p>
    <w:p w:rsidR="006127E6" w:rsidRPr="006127E6" w:rsidRDefault="006127E6" w:rsidP="006127E6">
      <w:pPr>
        <w:rPr>
          <w:lang w:val="en-US"/>
        </w:rPr>
      </w:pPr>
      <w:proofErr w:type="gramStart"/>
      <w:r w:rsidRPr="006127E6">
        <w:rPr>
          <w:lang w:val="en-US"/>
        </w:rPr>
        <w:t>releases</w:t>
      </w:r>
      <w:proofErr w:type="gramEnd"/>
      <w:r w:rsidRPr="006127E6">
        <w:rPr>
          <w:lang w:val="en-US"/>
        </w:rPr>
        <w:t xml:space="preserve"> concerning affected ratings on the funds, government-related </w:t>
      </w:r>
    </w:p>
    <w:p w:rsidR="006127E6" w:rsidRPr="006127E6" w:rsidRDefault="006127E6" w:rsidP="006127E6">
      <w:pPr>
        <w:rPr>
          <w:lang w:val="en-US"/>
        </w:rPr>
      </w:pPr>
      <w:proofErr w:type="gramStart"/>
      <w:r w:rsidRPr="006127E6">
        <w:rPr>
          <w:lang w:val="en-US"/>
        </w:rPr>
        <w:t>entities</w:t>
      </w:r>
      <w:proofErr w:type="gramEnd"/>
      <w:r w:rsidRPr="006127E6">
        <w:rPr>
          <w:lang w:val="en-US"/>
        </w:rPr>
        <w:t xml:space="preserve">, financial institutions, insurance companies, public finance, and </w:t>
      </w:r>
    </w:p>
    <w:p w:rsidR="006127E6" w:rsidRPr="006127E6" w:rsidRDefault="006127E6" w:rsidP="006127E6">
      <w:pPr>
        <w:rPr>
          <w:lang w:val="en-US"/>
        </w:rPr>
      </w:pPr>
      <w:proofErr w:type="gramStart"/>
      <w:r w:rsidRPr="006127E6">
        <w:rPr>
          <w:lang w:val="en-US"/>
        </w:rPr>
        <w:t>structured</w:t>
      </w:r>
      <w:proofErr w:type="gramEnd"/>
      <w:r w:rsidRPr="006127E6">
        <w:rPr>
          <w:lang w:val="en-US"/>
        </w:rPr>
        <w:t xml:space="preserve"> finance sectors in due course.</w:t>
      </w:r>
    </w:p>
    <w:p w:rsidR="006127E6" w:rsidRPr="006127E6" w:rsidRDefault="006127E6" w:rsidP="006127E6">
      <w:pPr>
        <w:rPr>
          <w:lang w:val="en-US"/>
        </w:rPr>
      </w:pPr>
    </w:p>
    <w:p w:rsidR="006127E6" w:rsidRPr="006127E6" w:rsidRDefault="006127E6" w:rsidP="006127E6">
      <w:pPr>
        <w:rPr>
          <w:lang w:val="en-US"/>
        </w:rPr>
      </w:pPr>
    </w:p>
    <w:p w:rsidR="006127E6" w:rsidRPr="006127E6" w:rsidRDefault="006127E6" w:rsidP="006127E6">
      <w:pPr>
        <w:rPr>
          <w:lang w:val="en-US"/>
        </w:rPr>
      </w:pPr>
      <w:r w:rsidRPr="006127E6">
        <w:rPr>
          <w:lang w:val="en-US"/>
        </w:rPr>
        <w:t>RATINGS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DC198C" w:rsidRPr="00DC198C" w:rsidTr="00DC198C">
        <w:tc>
          <w:tcPr>
            <w:tcW w:w="3070" w:type="dxa"/>
          </w:tcPr>
          <w:p w:rsidR="00DC198C" w:rsidRPr="00DC198C" w:rsidRDefault="00DC198C" w:rsidP="00444E81">
            <w:pPr>
              <w:rPr>
                <w:lang w:val="en-US"/>
              </w:rPr>
            </w:pPr>
            <w:r w:rsidRPr="00DC198C">
              <w:rPr>
                <w:lang w:val="en-US"/>
              </w:rPr>
              <w:t xml:space="preserve"> </w:t>
            </w:r>
          </w:p>
        </w:tc>
        <w:tc>
          <w:tcPr>
            <w:tcW w:w="3071" w:type="dxa"/>
          </w:tcPr>
          <w:p w:rsidR="00DC198C" w:rsidRPr="00DC198C" w:rsidRDefault="00DC198C" w:rsidP="00444E81">
            <w:pPr>
              <w:rPr>
                <w:lang w:val="en-US"/>
              </w:rPr>
            </w:pPr>
            <w:r w:rsidRPr="00DC198C">
              <w:rPr>
                <w:lang w:val="en-US"/>
              </w:rPr>
              <w:t xml:space="preserve">To </w:t>
            </w:r>
          </w:p>
        </w:tc>
        <w:tc>
          <w:tcPr>
            <w:tcW w:w="3071" w:type="dxa"/>
          </w:tcPr>
          <w:p w:rsidR="00DC198C" w:rsidRPr="00DC198C" w:rsidRDefault="00DC198C" w:rsidP="00444E81">
            <w:pPr>
              <w:rPr>
                <w:lang w:val="en-US"/>
              </w:rPr>
            </w:pPr>
            <w:r w:rsidRPr="00DC198C">
              <w:rPr>
                <w:lang w:val="en-US"/>
              </w:rPr>
              <w:t>From</w:t>
            </w:r>
          </w:p>
        </w:tc>
      </w:tr>
      <w:tr w:rsidR="00DC198C" w:rsidRPr="00DC198C" w:rsidTr="00DC198C">
        <w:tc>
          <w:tcPr>
            <w:tcW w:w="3070" w:type="dxa"/>
          </w:tcPr>
          <w:p w:rsidR="00DC198C" w:rsidRPr="00DC198C" w:rsidRDefault="00DC198C" w:rsidP="00444E81">
            <w:pPr>
              <w:rPr>
                <w:lang w:val="en-US"/>
              </w:rPr>
            </w:pPr>
            <w:r w:rsidRPr="00DC198C">
              <w:rPr>
                <w:lang w:val="en-US"/>
              </w:rPr>
              <w:t>Austria (Republic of)</w:t>
            </w:r>
          </w:p>
        </w:tc>
        <w:tc>
          <w:tcPr>
            <w:tcW w:w="3071" w:type="dxa"/>
          </w:tcPr>
          <w:p w:rsidR="00DC198C" w:rsidRPr="00DC198C" w:rsidRDefault="00DC198C" w:rsidP="00444E81">
            <w:pPr>
              <w:rPr>
                <w:lang w:val="en-US"/>
              </w:rPr>
            </w:pPr>
            <w:r w:rsidRPr="00DC198C">
              <w:rPr>
                <w:lang w:val="en-US"/>
              </w:rPr>
              <w:t>AA+/Negative/A-1+</w:t>
            </w:r>
          </w:p>
        </w:tc>
        <w:tc>
          <w:tcPr>
            <w:tcW w:w="3071" w:type="dxa"/>
          </w:tcPr>
          <w:p w:rsidR="00DC198C" w:rsidRPr="00DC198C" w:rsidRDefault="00DC198C" w:rsidP="00444E81">
            <w:pPr>
              <w:rPr>
                <w:lang w:val="en-US"/>
              </w:rPr>
            </w:pPr>
            <w:r w:rsidRPr="00DC198C">
              <w:rPr>
                <w:lang w:val="en-US"/>
              </w:rPr>
              <w:t xml:space="preserve">AAA/Watch </w:t>
            </w:r>
            <w:proofErr w:type="spellStart"/>
            <w:r w:rsidRPr="00DC198C">
              <w:rPr>
                <w:lang w:val="en-US"/>
              </w:rPr>
              <w:t>Neg</w:t>
            </w:r>
            <w:proofErr w:type="spellEnd"/>
            <w:r w:rsidRPr="00DC198C">
              <w:rPr>
                <w:lang w:val="en-US"/>
              </w:rPr>
              <w:t>/A-1+</w:t>
            </w:r>
          </w:p>
        </w:tc>
      </w:tr>
      <w:tr w:rsidR="00DC198C" w:rsidRPr="00DC198C" w:rsidTr="00DC198C">
        <w:tc>
          <w:tcPr>
            <w:tcW w:w="3070" w:type="dxa"/>
          </w:tcPr>
          <w:p w:rsidR="00DC198C" w:rsidRPr="00DC198C" w:rsidRDefault="00DC198C" w:rsidP="00444E81">
            <w:pPr>
              <w:rPr>
                <w:lang w:val="en-US"/>
              </w:rPr>
            </w:pPr>
            <w:r w:rsidRPr="00DC198C">
              <w:rPr>
                <w:lang w:val="en-US"/>
              </w:rPr>
              <w:t>Belgium (Kingdom of) (Unsolicited Ratings)</w:t>
            </w:r>
          </w:p>
        </w:tc>
        <w:tc>
          <w:tcPr>
            <w:tcW w:w="3071" w:type="dxa"/>
          </w:tcPr>
          <w:p w:rsidR="00DC198C" w:rsidRPr="00DC198C" w:rsidRDefault="00DC198C" w:rsidP="00444E81">
            <w:pPr>
              <w:rPr>
                <w:lang w:val="en-US"/>
              </w:rPr>
            </w:pPr>
            <w:r w:rsidRPr="00DC198C">
              <w:rPr>
                <w:lang w:val="en-US"/>
              </w:rPr>
              <w:t>AA/Negative/A-1+</w:t>
            </w:r>
          </w:p>
        </w:tc>
        <w:tc>
          <w:tcPr>
            <w:tcW w:w="3071" w:type="dxa"/>
          </w:tcPr>
          <w:p w:rsidR="00DC198C" w:rsidRPr="00DC198C" w:rsidRDefault="00DC198C" w:rsidP="00444E81">
            <w:pPr>
              <w:rPr>
                <w:lang w:val="en-US"/>
              </w:rPr>
            </w:pPr>
            <w:r w:rsidRPr="00DC198C">
              <w:rPr>
                <w:lang w:val="en-US"/>
              </w:rPr>
              <w:t xml:space="preserve">AA/Watch </w:t>
            </w:r>
            <w:proofErr w:type="spellStart"/>
            <w:r w:rsidRPr="00DC198C">
              <w:rPr>
                <w:lang w:val="en-US"/>
              </w:rPr>
              <w:t>Neg</w:t>
            </w:r>
            <w:proofErr w:type="spellEnd"/>
            <w:r w:rsidRPr="00DC198C">
              <w:rPr>
                <w:lang w:val="en-US"/>
              </w:rPr>
              <w:t>/A-1+</w:t>
            </w:r>
          </w:p>
        </w:tc>
      </w:tr>
      <w:tr w:rsidR="00DC198C" w:rsidRPr="00DC198C" w:rsidTr="00DC198C">
        <w:tc>
          <w:tcPr>
            <w:tcW w:w="3070" w:type="dxa"/>
          </w:tcPr>
          <w:p w:rsidR="00DC198C" w:rsidRPr="00DC198C" w:rsidRDefault="00DC198C" w:rsidP="00444E81">
            <w:pPr>
              <w:rPr>
                <w:lang w:val="en-US"/>
              </w:rPr>
            </w:pPr>
            <w:r w:rsidRPr="00DC198C">
              <w:rPr>
                <w:lang w:val="en-US"/>
              </w:rPr>
              <w:t xml:space="preserve">Cyprus (Republic of) </w:t>
            </w:r>
          </w:p>
        </w:tc>
        <w:tc>
          <w:tcPr>
            <w:tcW w:w="3071" w:type="dxa"/>
          </w:tcPr>
          <w:p w:rsidR="00DC198C" w:rsidRPr="00DC198C" w:rsidRDefault="00DC198C" w:rsidP="00444E81">
            <w:pPr>
              <w:rPr>
                <w:lang w:val="en-US"/>
              </w:rPr>
            </w:pPr>
            <w:r w:rsidRPr="00DC198C">
              <w:rPr>
                <w:lang w:val="en-US"/>
              </w:rPr>
              <w:t xml:space="preserve">BB+/Negative/B </w:t>
            </w:r>
          </w:p>
        </w:tc>
        <w:tc>
          <w:tcPr>
            <w:tcW w:w="3071" w:type="dxa"/>
          </w:tcPr>
          <w:p w:rsidR="00DC198C" w:rsidRPr="00DC198C" w:rsidRDefault="00DC198C" w:rsidP="00444E81">
            <w:pPr>
              <w:rPr>
                <w:lang w:val="en-US"/>
              </w:rPr>
            </w:pPr>
            <w:r w:rsidRPr="00DC198C">
              <w:rPr>
                <w:lang w:val="en-US"/>
              </w:rPr>
              <w:t xml:space="preserve">BBB/Watch </w:t>
            </w:r>
            <w:proofErr w:type="spellStart"/>
            <w:r w:rsidRPr="00DC198C">
              <w:rPr>
                <w:lang w:val="en-US"/>
              </w:rPr>
              <w:t>Neg</w:t>
            </w:r>
            <w:proofErr w:type="spellEnd"/>
            <w:r w:rsidRPr="00DC198C">
              <w:rPr>
                <w:lang w:val="en-US"/>
              </w:rPr>
              <w:t>/A-3</w:t>
            </w:r>
          </w:p>
        </w:tc>
      </w:tr>
      <w:tr w:rsidR="00DC198C" w:rsidRPr="00DC198C" w:rsidTr="00DC198C">
        <w:tc>
          <w:tcPr>
            <w:tcW w:w="3070" w:type="dxa"/>
          </w:tcPr>
          <w:p w:rsidR="00DC198C" w:rsidRPr="00DC198C" w:rsidRDefault="00DC198C" w:rsidP="00444E81">
            <w:pPr>
              <w:rPr>
                <w:lang w:val="en-US"/>
              </w:rPr>
            </w:pPr>
            <w:r w:rsidRPr="00DC198C">
              <w:rPr>
                <w:lang w:val="en-US"/>
              </w:rPr>
              <w:t>Estonia (Republic of)</w:t>
            </w:r>
          </w:p>
        </w:tc>
        <w:tc>
          <w:tcPr>
            <w:tcW w:w="3071" w:type="dxa"/>
          </w:tcPr>
          <w:p w:rsidR="00DC198C" w:rsidRPr="00DC198C" w:rsidRDefault="00DC198C" w:rsidP="00444E81">
            <w:pPr>
              <w:rPr>
                <w:lang w:val="en-US"/>
              </w:rPr>
            </w:pPr>
            <w:r w:rsidRPr="00DC198C">
              <w:rPr>
                <w:lang w:val="en-US"/>
              </w:rPr>
              <w:t>AA-/Negative/A-1+</w:t>
            </w:r>
          </w:p>
        </w:tc>
        <w:tc>
          <w:tcPr>
            <w:tcW w:w="3071" w:type="dxa"/>
          </w:tcPr>
          <w:p w:rsidR="00DC198C" w:rsidRPr="00DC198C" w:rsidRDefault="00DC198C" w:rsidP="00444E81">
            <w:pPr>
              <w:rPr>
                <w:lang w:val="en-US"/>
              </w:rPr>
            </w:pPr>
            <w:r w:rsidRPr="00DC198C">
              <w:rPr>
                <w:lang w:val="en-US"/>
              </w:rPr>
              <w:t xml:space="preserve">AA-/Watch </w:t>
            </w:r>
            <w:proofErr w:type="spellStart"/>
            <w:r w:rsidRPr="00DC198C">
              <w:rPr>
                <w:lang w:val="en-US"/>
              </w:rPr>
              <w:t>Neg</w:t>
            </w:r>
            <w:proofErr w:type="spellEnd"/>
            <w:r w:rsidRPr="00DC198C">
              <w:rPr>
                <w:lang w:val="en-US"/>
              </w:rPr>
              <w:t>/A-1+</w:t>
            </w:r>
          </w:p>
        </w:tc>
      </w:tr>
      <w:tr w:rsidR="00DC198C" w:rsidRPr="00DC198C" w:rsidTr="00DC198C">
        <w:tc>
          <w:tcPr>
            <w:tcW w:w="3070" w:type="dxa"/>
          </w:tcPr>
          <w:p w:rsidR="00DC198C" w:rsidRPr="00DC198C" w:rsidRDefault="00DC198C" w:rsidP="00444E81">
            <w:pPr>
              <w:rPr>
                <w:lang w:val="en-US"/>
              </w:rPr>
            </w:pPr>
            <w:r w:rsidRPr="00DC198C">
              <w:rPr>
                <w:lang w:val="en-US"/>
              </w:rPr>
              <w:t>Finland (Republic of)</w:t>
            </w:r>
          </w:p>
        </w:tc>
        <w:tc>
          <w:tcPr>
            <w:tcW w:w="3071" w:type="dxa"/>
          </w:tcPr>
          <w:p w:rsidR="00DC198C" w:rsidRPr="00DC198C" w:rsidRDefault="00DC198C" w:rsidP="00444E81">
            <w:pPr>
              <w:rPr>
                <w:lang w:val="en-US"/>
              </w:rPr>
            </w:pPr>
            <w:r w:rsidRPr="00DC198C">
              <w:rPr>
                <w:lang w:val="en-US"/>
              </w:rPr>
              <w:t>AAA/Negative/A-1+</w:t>
            </w:r>
          </w:p>
        </w:tc>
        <w:tc>
          <w:tcPr>
            <w:tcW w:w="3071" w:type="dxa"/>
          </w:tcPr>
          <w:p w:rsidR="00DC198C" w:rsidRPr="00DC198C" w:rsidRDefault="00DC198C" w:rsidP="00444E81">
            <w:pPr>
              <w:rPr>
                <w:lang w:val="en-US"/>
              </w:rPr>
            </w:pPr>
            <w:r w:rsidRPr="00DC198C">
              <w:rPr>
                <w:lang w:val="en-US"/>
              </w:rPr>
              <w:t xml:space="preserve">AAA/Watch </w:t>
            </w:r>
            <w:proofErr w:type="spellStart"/>
            <w:r w:rsidRPr="00DC198C">
              <w:rPr>
                <w:lang w:val="en-US"/>
              </w:rPr>
              <w:t>Neg</w:t>
            </w:r>
            <w:proofErr w:type="spellEnd"/>
            <w:r w:rsidRPr="00DC198C">
              <w:rPr>
                <w:lang w:val="en-US"/>
              </w:rPr>
              <w:t>/A-1+</w:t>
            </w:r>
          </w:p>
        </w:tc>
      </w:tr>
      <w:tr w:rsidR="00DC198C" w:rsidRPr="00DC198C" w:rsidTr="00DC198C">
        <w:tc>
          <w:tcPr>
            <w:tcW w:w="3070" w:type="dxa"/>
          </w:tcPr>
          <w:p w:rsidR="00DC198C" w:rsidRPr="00DC198C" w:rsidRDefault="00DC198C" w:rsidP="00444E81">
            <w:pPr>
              <w:rPr>
                <w:lang w:val="en-US"/>
              </w:rPr>
            </w:pPr>
            <w:r w:rsidRPr="00DC198C">
              <w:rPr>
                <w:lang w:val="en-US"/>
              </w:rPr>
              <w:lastRenderedPageBreak/>
              <w:t>France (Republic of) (Unsolicited Ratings)</w:t>
            </w:r>
          </w:p>
        </w:tc>
        <w:tc>
          <w:tcPr>
            <w:tcW w:w="3071" w:type="dxa"/>
          </w:tcPr>
          <w:p w:rsidR="00DC198C" w:rsidRPr="00DC198C" w:rsidRDefault="00DC198C" w:rsidP="00444E81">
            <w:pPr>
              <w:rPr>
                <w:lang w:val="en-US"/>
              </w:rPr>
            </w:pPr>
            <w:r w:rsidRPr="00DC198C">
              <w:rPr>
                <w:lang w:val="en-US"/>
              </w:rPr>
              <w:t>AA+/Negative/A-1+</w:t>
            </w:r>
          </w:p>
        </w:tc>
        <w:tc>
          <w:tcPr>
            <w:tcW w:w="3071" w:type="dxa"/>
          </w:tcPr>
          <w:p w:rsidR="00DC198C" w:rsidRPr="00DC198C" w:rsidRDefault="00DC198C" w:rsidP="00444E81">
            <w:pPr>
              <w:rPr>
                <w:lang w:val="en-US"/>
              </w:rPr>
            </w:pPr>
            <w:r w:rsidRPr="00DC198C">
              <w:rPr>
                <w:lang w:val="en-US"/>
              </w:rPr>
              <w:t xml:space="preserve">AAA/Watch </w:t>
            </w:r>
            <w:proofErr w:type="spellStart"/>
            <w:r w:rsidRPr="00DC198C">
              <w:rPr>
                <w:lang w:val="en-US"/>
              </w:rPr>
              <w:t>Neg</w:t>
            </w:r>
            <w:proofErr w:type="spellEnd"/>
            <w:r w:rsidRPr="00DC198C">
              <w:rPr>
                <w:lang w:val="en-US"/>
              </w:rPr>
              <w:t>/A-1+</w:t>
            </w:r>
          </w:p>
        </w:tc>
      </w:tr>
      <w:tr w:rsidR="00DC198C" w:rsidRPr="00DC198C" w:rsidTr="00DC198C">
        <w:tc>
          <w:tcPr>
            <w:tcW w:w="3070" w:type="dxa"/>
          </w:tcPr>
          <w:p w:rsidR="00DC198C" w:rsidRPr="00DC198C" w:rsidRDefault="00DC198C" w:rsidP="00444E81">
            <w:pPr>
              <w:rPr>
                <w:lang w:val="en-US"/>
              </w:rPr>
            </w:pPr>
            <w:r w:rsidRPr="00DC198C">
              <w:rPr>
                <w:lang w:val="en-US"/>
              </w:rPr>
              <w:t>Germany (Federal Republic of) (Unsolicited Ratings)</w:t>
            </w:r>
          </w:p>
        </w:tc>
        <w:tc>
          <w:tcPr>
            <w:tcW w:w="3071" w:type="dxa"/>
          </w:tcPr>
          <w:p w:rsidR="00DC198C" w:rsidRPr="00DC198C" w:rsidRDefault="00DC198C" w:rsidP="00444E81">
            <w:pPr>
              <w:rPr>
                <w:lang w:val="en-US"/>
              </w:rPr>
            </w:pPr>
            <w:r w:rsidRPr="00DC198C">
              <w:rPr>
                <w:lang w:val="en-US"/>
              </w:rPr>
              <w:t>AAA/Stable/A-1+</w:t>
            </w:r>
          </w:p>
        </w:tc>
        <w:tc>
          <w:tcPr>
            <w:tcW w:w="3071" w:type="dxa"/>
          </w:tcPr>
          <w:p w:rsidR="00DC198C" w:rsidRPr="00DC198C" w:rsidRDefault="00DC198C" w:rsidP="00CF247D">
            <w:pPr>
              <w:rPr>
                <w:lang w:val="en-US"/>
              </w:rPr>
            </w:pPr>
            <w:r w:rsidRPr="00DC198C">
              <w:rPr>
                <w:lang w:val="en-US"/>
              </w:rPr>
              <w:t xml:space="preserve">AAA/Watch </w:t>
            </w:r>
            <w:proofErr w:type="spellStart"/>
            <w:r w:rsidRPr="00DC198C">
              <w:rPr>
                <w:lang w:val="en-US"/>
              </w:rPr>
              <w:t>Neg</w:t>
            </w:r>
            <w:proofErr w:type="spellEnd"/>
            <w:r w:rsidRPr="00DC198C">
              <w:rPr>
                <w:lang w:val="en-US"/>
              </w:rPr>
              <w:t>/A-1+</w:t>
            </w:r>
          </w:p>
        </w:tc>
      </w:tr>
      <w:tr w:rsidR="00DC198C" w:rsidRPr="00DC198C" w:rsidTr="00DC198C">
        <w:tc>
          <w:tcPr>
            <w:tcW w:w="3070" w:type="dxa"/>
          </w:tcPr>
          <w:p w:rsidR="00DC198C" w:rsidRPr="00DC198C" w:rsidRDefault="00DC198C" w:rsidP="00444E81">
            <w:pPr>
              <w:rPr>
                <w:lang w:val="en-US"/>
              </w:rPr>
            </w:pPr>
            <w:r w:rsidRPr="00DC198C">
              <w:rPr>
                <w:lang w:val="en-US"/>
              </w:rPr>
              <w:t>Ireland (Republic of)</w:t>
            </w:r>
          </w:p>
        </w:tc>
        <w:tc>
          <w:tcPr>
            <w:tcW w:w="3071" w:type="dxa"/>
          </w:tcPr>
          <w:p w:rsidR="00DC198C" w:rsidRPr="00DC198C" w:rsidRDefault="00DC198C" w:rsidP="00444E81">
            <w:pPr>
              <w:rPr>
                <w:lang w:val="en-US"/>
              </w:rPr>
            </w:pPr>
            <w:r w:rsidRPr="00DC198C">
              <w:rPr>
                <w:lang w:val="en-US"/>
              </w:rPr>
              <w:t>BBB+/Negative/A-2</w:t>
            </w:r>
          </w:p>
        </w:tc>
        <w:tc>
          <w:tcPr>
            <w:tcW w:w="3071" w:type="dxa"/>
          </w:tcPr>
          <w:p w:rsidR="00DC198C" w:rsidRPr="00DC198C" w:rsidRDefault="00DC198C" w:rsidP="00444E81">
            <w:pPr>
              <w:rPr>
                <w:lang w:val="en-US"/>
              </w:rPr>
            </w:pPr>
            <w:r w:rsidRPr="00DC198C">
              <w:rPr>
                <w:lang w:val="en-US"/>
              </w:rPr>
              <w:t xml:space="preserve">BBB+/Watch </w:t>
            </w:r>
            <w:proofErr w:type="spellStart"/>
            <w:r w:rsidRPr="00DC198C">
              <w:rPr>
                <w:lang w:val="en-US"/>
              </w:rPr>
              <w:t>Neg</w:t>
            </w:r>
            <w:proofErr w:type="spellEnd"/>
            <w:r w:rsidRPr="00DC198C">
              <w:rPr>
                <w:lang w:val="en-US"/>
              </w:rPr>
              <w:t>/A-2</w:t>
            </w:r>
          </w:p>
        </w:tc>
      </w:tr>
      <w:tr w:rsidR="00DC198C" w:rsidRPr="00DC198C" w:rsidTr="00DC198C">
        <w:tc>
          <w:tcPr>
            <w:tcW w:w="3070" w:type="dxa"/>
          </w:tcPr>
          <w:p w:rsidR="00DC198C" w:rsidRPr="00DC198C" w:rsidRDefault="00DC198C" w:rsidP="00444E81">
            <w:pPr>
              <w:rPr>
                <w:lang w:val="en-US"/>
              </w:rPr>
            </w:pPr>
            <w:r w:rsidRPr="00DC198C">
              <w:rPr>
                <w:lang w:val="en-US"/>
              </w:rPr>
              <w:t>Italy (Republic of) (Unsolicited Ratings)</w:t>
            </w:r>
          </w:p>
        </w:tc>
        <w:tc>
          <w:tcPr>
            <w:tcW w:w="3071" w:type="dxa"/>
          </w:tcPr>
          <w:p w:rsidR="00DC198C" w:rsidRPr="00DC198C" w:rsidRDefault="00DC198C" w:rsidP="00444E81">
            <w:pPr>
              <w:rPr>
                <w:lang w:val="en-US"/>
              </w:rPr>
            </w:pPr>
            <w:r w:rsidRPr="00DC198C">
              <w:rPr>
                <w:lang w:val="en-US"/>
              </w:rPr>
              <w:t>BBB+/Negative/A-2</w:t>
            </w:r>
          </w:p>
        </w:tc>
        <w:tc>
          <w:tcPr>
            <w:tcW w:w="3071" w:type="dxa"/>
          </w:tcPr>
          <w:p w:rsidR="00DC198C" w:rsidRPr="00DC198C" w:rsidRDefault="00DC198C" w:rsidP="00444E81">
            <w:pPr>
              <w:rPr>
                <w:lang w:val="en-US"/>
              </w:rPr>
            </w:pPr>
            <w:r w:rsidRPr="00DC198C">
              <w:rPr>
                <w:lang w:val="en-US"/>
              </w:rPr>
              <w:t xml:space="preserve">A/Watch </w:t>
            </w:r>
            <w:proofErr w:type="spellStart"/>
            <w:r w:rsidRPr="00DC198C">
              <w:rPr>
                <w:lang w:val="en-US"/>
              </w:rPr>
              <w:t>Neg</w:t>
            </w:r>
            <w:proofErr w:type="spellEnd"/>
            <w:r w:rsidRPr="00DC198C">
              <w:rPr>
                <w:lang w:val="en-US"/>
              </w:rPr>
              <w:t>/A-1</w:t>
            </w:r>
          </w:p>
        </w:tc>
      </w:tr>
      <w:tr w:rsidR="00DC198C" w:rsidRPr="00DC198C" w:rsidTr="00DC198C">
        <w:tc>
          <w:tcPr>
            <w:tcW w:w="3070" w:type="dxa"/>
          </w:tcPr>
          <w:p w:rsidR="00DC198C" w:rsidRPr="00DC198C" w:rsidRDefault="00DC198C" w:rsidP="00444E81">
            <w:pPr>
              <w:rPr>
                <w:lang w:val="en-US"/>
              </w:rPr>
            </w:pPr>
            <w:r w:rsidRPr="00DC198C">
              <w:rPr>
                <w:lang w:val="en-US"/>
              </w:rPr>
              <w:t>Luxembourg (Grand Duchy of)</w:t>
            </w:r>
          </w:p>
        </w:tc>
        <w:tc>
          <w:tcPr>
            <w:tcW w:w="3071" w:type="dxa"/>
          </w:tcPr>
          <w:p w:rsidR="00DC198C" w:rsidRPr="00DC198C" w:rsidRDefault="00DC198C" w:rsidP="00444E81">
            <w:pPr>
              <w:rPr>
                <w:lang w:val="en-US"/>
              </w:rPr>
            </w:pPr>
            <w:r w:rsidRPr="00DC198C">
              <w:rPr>
                <w:lang w:val="en-US"/>
              </w:rPr>
              <w:t>AAA/Negative/A-1+</w:t>
            </w:r>
          </w:p>
        </w:tc>
        <w:tc>
          <w:tcPr>
            <w:tcW w:w="3071" w:type="dxa"/>
          </w:tcPr>
          <w:p w:rsidR="00DC198C" w:rsidRPr="00DC198C" w:rsidRDefault="00DC198C" w:rsidP="00444E81">
            <w:pPr>
              <w:rPr>
                <w:lang w:val="en-US"/>
              </w:rPr>
            </w:pPr>
            <w:r w:rsidRPr="00DC198C">
              <w:rPr>
                <w:lang w:val="en-US"/>
              </w:rPr>
              <w:t xml:space="preserve">AAA/Watch </w:t>
            </w:r>
            <w:proofErr w:type="spellStart"/>
            <w:r w:rsidRPr="00DC198C">
              <w:rPr>
                <w:lang w:val="en-US"/>
              </w:rPr>
              <w:t>Neg</w:t>
            </w:r>
            <w:proofErr w:type="spellEnd"/>
            <w:r w:rsidRPr="00DC198C">
              <w:rPr>
                <w:lang w:val="en-US"/>
              </w:rPr>
              <w:t>/A-1+</w:t>
            </w:r>
          </w:p>
        </w:tc>
      </w:tr>
      <w:tr w:rsidR="00DC198C" w:rsidRPr="00DC198C" w:rsidTr="00DC198C">
        <w:tc>
          <w:tcPr>
            <w:tcW w:w="3070" w:type="dxa"/>
          </w:tcPr>
          <w:p w:rsidR="00DC198C" w:rsidRPr="00DC198C" w:rsidRDefault="00DC198C" w:rsidP="00444E81">
            <w:pPr>
              <w:rPr>
                <w:lang w:val="en-US"/>
              </w:rPr>
            </w:pPr>
            <w:r w:rsidRPr="00DC198C">
              <w:rPr>
                <w:lang w:val="en-US"/>
              </w:rPr>
              <w:t>Malta (Republic of)</w:t>
            </w:r>
          </w:p>
        </w:tc>
        <w:tc>
          <w:tcPr>
            <w:tcW w:w="3071" w:type="dxa"/>
          </w:tcPr>
          <w:p w:rsidR="00DC198C" w:rsidRPr="00DC198C" w:rsidRDefault="00DC198C" w:rsidP="00444E81">
            <w:pPr>
              <w:rPr>
                <w:lang w:val="en-US"/>
              </w:rPr>
            </w:pPr>
            <w:r w:rsidRPr="00DC198C">
              <w:rPr>
                <w:lang w:val="en-US"/>
              </w:rPr>
              <w:t>A-/Negative/A-2</w:t>
            </w:r>
          </w:p>
        </w:tc>
        <w:tc>
          <w:tcPr>
            <w:tcW w:w="3071" w:type="dxa"/>
          </w:tcPr>
          <w:p w:rsidR="00DC198C" w:rsidRPr="00DC198C" w:rsidRDefault="00DC198C" w:rsidP="00444E81">
            <w:pPr>
              <w:rPr>
                <w:lang w:val="en-US"/>
              </w:rPr>
            </w:pPr>
            <w:r w:rsidRPr="00DC198C">
              <w:rPr>
                <w:lang w:val="en-US"/>
              </w:rPr>
              <w:t xml:space="preserve">A/Watch </w:t>
            </w:r>
            <w:proofErr w:type="spellStart"/>
            <w:r w:rsidRPr="00DC198C">
              <w:rPr>
                <w:lang w:val="en-US"/>
              </w:rPr>
              <w:t>Neg</w:t>
            </w:r>
            <w:proofErr w:type="spellEnd"/>
            <w:r w:rsidRPr="00DC198C">
              <w:rPr>
                <w:lang w:val="en-US"/>
              </w:rPr>
              <w:t>/A-1</w:t>
            </w:r>
          </w:p>
        </w:tc>
      </w:tr>
      <w:tr w:rsidR="00DC198C" w:rsidRPr="00DC198C" w:rsidTr="00DC198C">
        <w:tc>
          <w:tcPr>
            <w:tcW w:w="3070" w:type="dxa"/>
          </w:tcPr>
          <w:p w:rsidR="00DC198C" w:rsidRPr="00DC198C" w:rsidRDefault="00DC198C" w:rsidP="00444E81">
            <w:pPr>
              <w:rPr>
                <w:lang w:val="en-US"/>
              </w:rPr>
            </w:pPr>
            <w:r w:rsidRPr="00DC198C">
              <w:rPr>
                <w:lang w:val="en-US"/>
              </w:rPr>
              <w:t>Netherlands (The) (State of) (Unsolicited Ratings)</w:t>
            </w:r>
          </w:p>
        </w:tc>
        <w:tc>
          <w:tcPr>
            <w:tcW w:w="3071" w:type="dxa"/>
          </w:tcPr>
          <w:p w:rsidR="00DC198C" w:rsidRPr="00DC198C" w:rsidRDefault="00DC198C" w:rsidP="00444E81">
            <w:pPr>
              <w:rPr>
                <w:lang w:val="en-US"/>
              </w:rPr>
            </w:pPr>
            <w:r w:rsidRPr="00DC198C">
              <w:rPr>
                <w:lang w:val="en-US"/>
              </w:rPr>
              <w:t>AAA/Negative/A-1+</w:t>
            </w:r>
          </w:p>
        </w:tc>
        <w:tc>
          <w:tcPr>
            <w:tcW w:w="3071" w:type="dxa"/>
          </w:tcPr>
          <w:p w:rsidR="00DC198C" w:rsidRPr="00DC198C" w:rsidRDefault="00DC198C" w:rsidP="002F0B6B">
            <w:pPr>
              <w:rPr>
                <w:lang w:val="en-US"/>
              </w:rPr>
            </w:pPr>
            <w:r w:rsidRPr="00DC198C">
              <w:rPr>
                <w:lang w:val="en-US"/>
              </w:rPr>
              <w:t xml:space="preserve">AAA/Watch </w:t>
            </w:r>
            <w:proofErr w:type="spellStart"/>
            <w:r w:rsidRPr="00DC198C">
              <w:rPr>
                <w:lang w:val="en-US"/>
              </w:rPr>
              <w:t>Neg</w:t>
            </w:r>
            <w:proofErr w:type="spellEnd"/>
            <w:r w:rsidRPr="00DC198C">
              <w:rPr>
                <w:lang w:val="en-US"/>
              </w:rPr>
              <w:t>/A-1+</w:t>
            </w:r>
          </w:p>
        </w:tc>
      </w:tr>
      <w:tr w:rsidR="00DC198C" w:rsidRPr="00DC198C" w:rsidTr="00DC198C">
        <w:tc>
          <w:tcPr>
            <w:tcW w:w="3070" w:type="dxa"/>
          </w:tcPr>
          <w:p w:rsidR="00DC198C" w:rsidRPr="00DC198C" w:rsidRDefault="00DC198C" w:rsidP="00444E81">
            <w:pPr>
              <w:rPr>
                <w:lang w:val="en-US"/>
              </w:rPr>
            </w:pPr>
            <w:bookmarkStart w:id="0" w:name="_GoBack"/>
            <w:bookmarkEnd w:id="0"/>
            <w:r w:rsidRPr="00DC198C">
              <w:rPr>
                <w:lang w:val="en-US"/>
              </w:rPr>
              <w:t xml:space="preserve">Portugal (Republic of) </w:t>
            </w:r>
          </w:p>
        </w:tc>
        <w:tc>
          <w:tcPr>
            <w:tcW w:w="3071" w:type="dxa"/>
          </w:tcPr>
          <w:p w:rsidR="00DC198C" w:rsidRPr="00DC198C" w:rsidRDefault="00DC198C" w:rsidP="00444E81">
            <w:pPr>
              <w:rPr>
                <w:lang w:val="en-US"/>
              </w:rPr>
            </w:pPr>
            <w:r w:rsidRPr="00DC198C">
              <w:rPr>
                <w:lang w:val="en-US"/>
              </w:rPr>
              <w:t>BB/Negative/B</w:t>
            </w:r>
          </w:p>
        </w:tc>
        <w:tc>
          <w:tcPr>
            <w:tcW w:w="3071" w:type="dxa"/>
          </w:tcPr>
          <w:p w:rsidR="00DC198C" w:rsidRPr="00DC198C" w:rsidRDefault="00DC198C" w:rsidP="00444E81">
            <w:pPr>
              <w:rPr>
                <w:lang w:val="en-US"/>
              </w:rPr>
            </w:pPr>
            <w:r w:rsidRPr="00DC198C">
              <w:rPr>
                <w:lang w:val="en-US"/>
              </w:rPr>
              <w:t xml:space="preserve">BBB-/Watch </w:t>
            </w:r>
            <w:proofErr w:type="spellStart"/>
            <w:r w:rsidRPr="00DC198C">
              <w:rPr>
                <w:lang w:val="en-US"/>
              </w:rPr>
              <w:t>Neg</w:t>
            </w:r>
            <w:proofErr w:type="spellEnd"/>
            <w:r w:rsidRPr="00DC198C">
              <w:rPr>
                <w:lang w:val="en-US"/>
              </w:rPr>
              <w:t>/A-3</w:t>
            </w:r>
          </w:p>
        </w:tc>
      </w:tr>
      <w:tr w:rsidR="00DC198C" w:rsidRPr="00DC198C" w:rsidTr="00DC198C">
        <w:tc>
          <w:tcPr>
            <w:tcW w:w="3070" w:type="dxa"/>
          </w:tcPr>
          <w:p w:rsidR="00DC198C" w:rsidRPr="00DC198C" w:rsidRDefault="00DC198C" w:rsidP="00444E81">
            <w:pPr>
              <w:rPr>
                <w:lang w:val="en-US"/>
              </w:rPr>
            </w:pPr>
            <w:r w:rsidRPr="00DC198C">
              <w:rPr>
                <w:lang w:val="en-US"/>
              </w:rPr>
              <w:t>Slovak Republic</w:t>
            </w:r>
          </w:p>
        </w:tc>
        <w:tc>
          <w:tcPr>
            <w:tcW w:w="3071" w:type="dxa"/>
          </w:tcPr>
          <w:p w:rsidR="00DC198C" w:rsidRPr="00DC198C" w:rsidRDefault="00DC198C" w:rsidP="00444E81">
            <w:pPr>
              <w:rPr>
                <w:lang w:val="en-US"/>
              </w:rPr>
            </w:pPr>
            <w:r w:rsidRPr="00DC198C">
              <w:rPr>
                <w:lang w:val="en-US"/>
              </w:rPr>
              <w:t xml:space="preserve">A/Stable/A-1 </w:t>
            </w:r>
          </w:p>
        </w:tc>
        <w:tc>
          <w:tcPr>
            <w:tcW w:w="3071" w:type="dxa"/>
          </w:tcPr>
          <w:p w:rsidR="00DC198C" w:rsidRPr="00DC198C" w:rsidRDefault="00DC198C" w:rsidP="00444E81">
            <w:pPr>
              <w:rPr>
                <w:lang w:val="en-US"/>
              </w:rPr>
            </w:pPr>
            <w:r w:rsidRPr="00DC198C">
              <w:rPr>
                <w:lang w:val="en-US"/>
              </w:rPr>
              <w:t xml:space="preserve">A+/Watch </w:t>
            </w:r>
            <w:proofErr w:type="spellStart"/>
            <w:r w:rsidRPr="00DC198C">
              <w:rPr>
                <w:lang w:val="en-US"/>
              </w:rPr>
              <w:t>Neg</w:t>
            </w:r>
            <w:proofErr w:type="spellEnd"/>
            <w:r w:rsidRPr="00DC198C">
              <w:rPr>
                <w:lang w:val="en-US"/>
              </w:rPr>
              <w:t>/A-1</w:t>
            </w:r>
          </w:p>
        </w:tc>
      </w:tr>
      <w:tr w:rsidR="00DC198C" w:rsidRPr="00DC198C" w:rsidTr="00DC198C">
        <w:tc>
          <w:tcPr>
            <w:tcW w:w="3070" w:type="dxa"/>
          </w:tcPr>
          <w:p w:rsidR="00DC198C" w:rsidRPr="00DC198C" w:rsidRDefault="00DC198C" w:rsidP="00444E81">
            <w:pPr>
              <w:rPr>
                <w:lang w:val="en-US"/>
              </w:rPr>
            </w:pPr>
            <w:r w:rsidRPr="00DC198C">
              <w:rPr>
                <w:lang w:val="en-US"/>
              </w:rPr>
              <w:t xml:space="preserve">Slovenia (Republic of) </w:t>
            </w:r>
          </w:p>
        </w:tc>
        <w:tc>
          <w:tcPr>
            <w:tcW w:w="3071" w:type="dxa"/>
          </w:tcPr>
          <w:p w:rsidR="00DC198C" w:rsidRPr="00DC198C" w:rsidRDefault="00DC198C" w:rsidP="00444E81">
            <w:pPr>
              <w:rPr>
                <w:lang w:val="en-US"/>
              </w:rPr>
            </w:pPr>
            <w:r w:rsidRPr="00DC198C">
              <w:rPr>
                <w:lang w:val="en-US"/>
              </w:rPr>
              <w:t xml:space="preserve">A+/Negative/A-1 </w:t>
            </w:r>
          </w:p>
        </w:tc>
        <w:tc>
          <w:tcPr>
            <w:tcW w:w="3071" w:type="dxa"/>
          </w:tcPr>
          <w:p w:rsidR="00DC198C" w:rsidRPr="00DC198C" w:rsidRDefault="00DC198C" w:rsidP="00444E81">
            <w:pPr>
              <w:rPr>
                <w:lang w:val="en-US"/>
              </w:rPr>
            </w:pPr>
            <w:r w:rsidRPr="00DC198C">
              <w:rPr>
                <w:lang w:val="en-US"/>
              </w:rPr>
              <w:t xml:space="preserve">AA-/Watch </w:t>
            </w:r>
            <w:proofErr w:type="spellStart"/>
            <w:r w:rsidRPr="00DC198C">
              <w:rPr>
                <w:lang w:val="en-US"/>
              </w:rPr>
              <w:t>Neg</w:t>
            </w:r>
            <w:proofErr w:type="spellEnd"/>
            <w:r w:rsidRPr="00DC198C">
              <w:rPr>
                <w:lang w:val="en-US"/>
              </w:rPr>
              <w:t>/A-1+</w:t>
            </w:r>
          </w:p>
        </w:tc>
      </w:tr>
      <w:tr w:rsidR="00DC198C" w:rsidRPr="00DC198C" w:rsidTr="00DC198C">
        <w:tc>
          <w:tcPr>
            <w:tcW w:w="3070" w:type="dxa"/>
          </w:tcPr>
          <w:p w:rsidR="00DC198C" w:rsidRPr="00DC198C" w:rsidRDefault="00DC198C" w:rsidP="00444E81">
            <w:pPr>
              <w:rPr>
                <w:lang w:val="en-US"/>
              </w:rPr>
            </w:pPr>
            <w:r w:rsidRPr="00DC198C">
              <w:rPr>
                <w:lang w:val="en-US"/>
              </w:rPr>
              <w:t xml:space="preserve">Spain (Kingdom of) </w:t>
            </w:r>
          </w:p>
        </w:tc>
        <w:tc>
          <w:tcPr>
            <w:tcW w:w="3071" w:type="dxa"/>
          </w:tcPr>
          <w:p w:rsidR="00DC198C" w:rsidRPr="00DC198C" w:rsidRDefault="00DC198C" w:rsidP="00444E81">
            <w:pPr>
              <w:rPr>
                <w:lang w:val="en-US"/>
              </w:rPr>
            </w:pPr>
            <w:r w:rsidRPr="00DC198C">
              <w:rPr>
                <w:lang w:val="en-US"/>
              </w:rPr>
              <w:t xml:space="preserve">A/Negative/A-1 </w:t>
            </w:r>
          </w:p>
        </w:tc>
        <w:tc>
          <w:tcPr>
            <w:tcW w:w="3071" w:type="dxa"/>
          </w:tcPr>
          <w:p w:rsidR="00DC198C" w:rsidRPr="00DC198C" w:rsidRDefault="00DC198C" w:rsidP="00444E81">
            <w:pPr>
              <w:rPr>
                <w:lang w:val="en-US"/>
              </w:rPr>
            </w:pPr>
            <w:r w:rsidRPr="00DC198C">
              <w:rPr>
                <w:lang w:val="en-US"/>
              </w:rPr>
              <w:t xml:space="preserve">AA-/Watch </w:t>
            </w:r>
            <w:proofErr w:type="spellStart"/>
            <w:r w:rsidRPr="00DC198C">
              <w:rPr>
                <w:lang w:val="en-US"/>
              </w:rPr>
              <w:t>Neg</w:t>
            </w:r>
            <w:proofErr w:type="spellEnd"/>
            <w:r w:rsidRPr="00DC198C">
              <w:rPr>
                <w:lang w:val="en-US"/>
              </w:rPr>
              <w:t>/A-1+</w:t>
            </w:r>
          </w:p>
        </w:tc>
      </w:tr>
    </w:tbl>
    <w:p w:rsidR="006127E6" w:rsidRPr="006127E6" w:rsidRDefault="006127E6" w:rsidP="006127E6">
      <w:pPr>
        <w:rPr>
          <w:lang w:val="en-US"/>
        </w:rPr>
      </w:pPr>
      <w:r w:rsidRPr="006127E6">
        <w:rPr>
          <w:lang w:val="en-US"/>
        </w:rPr>
        <w:t>N.B.--This does not include all ratings affected.</w:t>
      </w:r>
    </w:p>
    <w:p w:rsidR="006127E6" w:rsidRPr="006127E6" w:rsidRDefault="006127E6" w:rsidP="006127E6">
      <w:pPr>
        <w:rPr>
          <w:lang w:val="en-US"/>
        </w:rPr>
      </w:pPr>
    </w:p>
    <w:p w:rsidR="006127E6" w:rsidRPr="006127E6" w:rsidRDefault="006127E6" w:rsidP="006127E6">
      <w:pPr>
        <w:rPr>
          <w:lang w:val="en-US"/>
        </w:rPr>
      </w:pPr>
    </w:p>
    <w:sectPr w:rsidR="006127E6" w:rsidRPr="00612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E6"/>
    <w:rsid w:val="000034B5"/>
    <w:rsid w:val="00005FCB"/>
    <w:rsid w:val="000112CB"/>
    <w:rsid w:val="00012E6D"/>
    <w:rsid w:val="00016AE2"/>
    <w:rsid w:val="0002093A"/>
    <w:rsid w:val="00030E14"/>
    <w:rsid w:val="0003263C"/>
    <w:rsid w:val="00040A96"/>
    <w:rsid w:val="00045527"/>
    <w:rsid w:val="000564C7"/>
    <w:rsid w:val="00056AF1"/>
    <w:rsid w:val="000617A9"/>
    <w:rsid w:val="0006290A"/>
    <w:rsid w:val="00081655"/>
    <w:rsid w:val="00091354"/>
    <w:rsid w:val="00095355"/>
    <w:rsid w:val="000A1606"/>
    <w:rsid w:val="000A70ED"/>
    <w:rsid w:val="000C151C"/>
    <w:rsid w:val="000C2E0A"/>
    <w:rsid w:val="000C7B17"/>
    <w:rsid w:val="000D0123"/>
    <w:rsid w:val="000D4E5F"/>
    <w:rsid w:val="000D7F5D"/>
    <w:rsid w:val="000E6BE1"/>
    <w:rsid w:val="000F6040"/>
    <w:rsid w:val="000F712F"/>
    <w:rsid w:val="001319C7"/>
    <w:rsid w:val="0013305B"/>
    <w:rsid w:val="001526FA"/>
    <w:rsid w:val="00166A78"/>
    <w:rsid w:val="00180C06"/>
    <w:rsid w:val="001862AC"/>
    <w:rsid w:val="001912C8"/>
    <w:rsid w:val="00196538"/>
    <w:rsid w:val="001C0102"/>
    <w:rsid w:val="001C3EA9"/>
    <w:rsid w:val="001D7323"/>
    <w:rsid w:val="001E69B3"/>
    <w:rsid w:val="001F2247"/>
    <w:rsid w:val="001F27CC"/>
    <w:rsid w:val="001F3EF9"/>
    <w:rsid w:val="00200C69"/>
    <w:rsid w:val="00202FB8"/>
    <w:rsid w:val="00216658"/>
    <w:rsid w:val="00223ECD"/>
    <w:rsid w:val="00226BBC"/>
    <w:rsid w:val="00231725"/>
    <w:rsid w:val="00260F76"/>
    <w:rsid w:val="00271EE1"/>
    <w:rsid w:val="00272BF3"/>
    <w:rsid w:val="002742D8"/>
    <w:rsid w:val="002769AA"/>
    <w:rsid w:val="00287769"/>
    <w:rsid w:val="00287A3B"/>
    <w:rsid w:val="00287D59"/>
    <w:rsid w:val="002A5B09"/>
    <w:rsid w:val="002B0F14"/>
    <w:rsid w:val="002B2823"/>
    <w:rsid w:val="002B3E89"/>
    <w:rsid w:val="002C30B6"/>
    <w:rsid w:val="002C5FCE"/>
    <w:rsid w:val="002D0D76"/>
    <w:rsid w:val="002D3852"/>
    <w:rsid w:val="002D6EAF"/>
    <w:rsid w:val="002E5312"/>
    <w:rsid w:val="002E6C1B"/>
    <w:rsid w:val="002F1B00"/>
    <w:rsid w:val="002F4AE0"/>
    <w:rsid w:val="002F72E6"/>
    <w:rsid w:val="00301BC0"/>
    <w:rsid w:val="00310E9D"/>
    <w:rsid w:val="003212F4"/>
    <w:rsid w:val="00324249"/>
    <w:rsid w:val="0033050B"/>
    <w:rsid w:val="00345769"/>
    <w:rsid w:val="003616BB"/>
    <w:rsid w:val="00365808"/>
    <w:rsid w:val="00367C40"/>
    <w:rsid w:val="00380C04"/>
    <w:rsid w:val="00390F1E"/>
    <w:rsid w:val="003961B5"/>
    <w:rsid w:val="00396AC7"/>
    <w:rsid w:val="003A44C5"/>
    <w:rsid w:val="003B159C"/>
    <w:rsid w:val="003B7B3A"/>
    <w:rsid w:val="003D5B95"/>
    <w:rsid w:val="003E1CE2"/>
    <w:rsid w:val="003E4CC4"/>
    <w:rsid w:val="003E697D"/>
    <w:rsid w:val="004049EC"/>
    <w:rsid w:val="00414C5C"/>
    <w:rsid w:val="004257A0"/>
    <w:rsid w:val="00435323"/>
    <w:rsid w:val="004364AC"/>
    <w:rsid w:val="00447610"/>
    <w:rsid w:val="00451232"/>
    <w:rsid w:val="00477198"/>
    <w:rsid w:val="004C076F"/>
    <w:rsid w:val="004D124F"/>
    <w:rsid w:val="004D23C5"/>
    <w:rsid w:val="004D3751"/>
    <w:rsid w:val="004E46F8"/>
    <w:rsid w:val="004E61FF"/>
    <w:rsid w:val="004E68C8"/>
    <w:rsid w:val="004E7923"/>
    <w:rsid w:val="004F6ED0"/>
    <w:rsid w:val="00500A51"/>
    <w:rsid w:val="0051120F"/>
    <w:rsid w:val="005166EC"/>
    <w:rsid w:val="005172FD"/>
    <w:rsid w:val="005258E7"/>
    <w:rsid w:val="00527AEE"/>
    <w:rsid w:val="005376C0"/>
    <w:rsid w:val="005419FC"/>
    <w:rsid w:val="005507C9"/>
    <w:rsid w:val="005625BB"/>
    <w:rsid w:val="00562843"/>
    <w:rsid w:val="005830EC"/>
    <w:rsid w:val="00591E11"/>
    <w:rsid w:val="00597460"/>
    <w:rsid w:val="005B0FA6"/>
    <w:rsid w:val="005B6E2C"/>
    <w:rsid w:val="005C2F3A"/>
    <w:rsid w:val="005D4FA9"/>
    <w:rsid w:val="005E2706"/>
    <w:rsid w:val="005F537E"/>
    <w:rsid w:val="006127E6"/>
    <w:rsid w:val="00613F3B"/>
    <w:rsid w:val="00621DCE"/>
    <w:rsid w:val="00624BDC"/>
    <w:rsid w:val="006257AA"/>
    <w:rsid w:val="00632B62"/>
    <w:rsid w:val="0065792E"/>
    <w:rsid w:val="006658AD"/>
    <w:rsid w:val="00670AD2"/>
    <w:rsid w:val="00672F2A"/>
    <w:rsid w:val="00674A89"/>
    <w:rsid w:val="00677645"/>
    <w:rsid w:val="006B4C27"/>
    <w:rsid w:val="006C2647"/>
    <w:rsid w:val="006C36B2"/>
    <w:rsid w:val="006C5B7B"/>
    <w:rsid w:val="006C6F0E"/>
    <w:rsid w:val="006D5681"/>
    <w:rsid w:val="006F29C4"/>
    <w:rsid w:val="00711ABD"/>
    <w:rsid w:val="00713FF5"/>
    <w:rsid w:val="0072378B"/>
    <w:rsid w:val="00724D17"/>
    <w:rsid w:val="00741D50"/>
    <w:rsid w:val="00751613"/>
    <w:rsid w:val="00756AEE"/>
    <w:rsid w:val="0076111E"/>
    <w:rsid w:val="00761D21"/>
    <w:rsid w:val="0076200D"/>
    <w:rsid w:val="00765418"/>
    <w:rsid w:val="00767973"/>
    <w:rsid w:val="00770BAE"/>
    <w:rsid w:val="00774492"/>
    <w:rsid w:val="007806CD"/>
    <w:rsid w:val="00782149"/>
    <w:rsid w:val="007868A1"/>
    <w:rsid w:val="00791C20"/>
    <w:rsid w:val="007949B4"/>
    <w:rsid w:val="007C7D76"/>
    <w:rsid w:val="007D75BD"/>
    <w:rsid w:val="007E26EF"/>
    <w:rsid w:val="007E5276"/>
    <w:rsid w:val="007E5DE3"/>
    <w:rsid w:val="007E68DF"/>
    <w:rsid w:val="007F0DBB"/>
    <w:rsid w:val="0081310B"/>
    <w:rsid w:val="00814DD5"/>
    <w:rsid w:val="00821835"/>
    <w:rsid w:val="00830E38"/>
    <w:rsid w:val="00846032"/>
    <w:rsid w:val="00855DCC"/>
    <w:rsid w:val="00855F20"/>
    <w:rsid w:val="00877649"/>
    <w:rsid w:val="00880F02"/>
    <w:rsid w:val="0089125E"/>
    <w:rsid w:val="008A7A8F"/>
    <w:rsid w:val="008B7198"/>
    <w:rsid w:val="008C1AE3"/>
    <w:rsid w:val="008C51F4"/>
    <w:rsid w:val="008D4E74"/>
    <w:rsid w:val="008D72EF"/>
    <w:rsid w:val="008E0992"/>
    <w:rsid w:val="008E20E8"/>
    <w:rsid w:val="008E7A3A"/>
    <w:rsid w:val="00902509"/>
    <w:rsid w:val="00902E56"/>
    <w:rsid w:val="009063ED"/>
    <w:rsid w:val="00912979"/>
    <w:rsid w:val="00916578"/>
    <w:rsid w:val="00917976"/>
    <w:rsid w:val="0092333D"/>
    <w:rsid w:val="00941883"/>
    <w:rsid w:val="0094702E"/>
    <w:rsid w:val="009500A3"/>
    <w:rsid w:val="009509C8"/>
    <w:rsid w:val="00954CCE"/>
    <w:rsid w:val="00975310"/>
    <w:rsid w:val="009936DD"/>
    <w:rsid w:val="009A038C"/>
    <w:rsid w:val="009C76A5"/>
    <w:rsid w:val="009D6F5A"/>
    <w:rsid w:val="009F0F56"/>
    <w:rsid w:val="009F263E"/>
    <w:rsid w:val="00A033FD"/>
    <w:rsid w:val="00A069DA"/>
    <w:rsid w:val="00A122A6"/>
    <w:rsid w:val="00A123F3"/>
    <w:rsid w:val="00A3393F"/>
    <w:rsid w:val="00A35962"/>
    <w:rsid w:val="00A415ED"/>
    <w:rsid w:val="00A50245"/>
    <w:rsid w:val="00A57A2C"/>
    <w:rsid w:val="00A76809"/>
    <w:rsid w:val="00A8782C"/>
    <w:rsid w:val="00A92F00"/>
    <w:rsid w:val="00A95E4B"/>
    <w:rsid w:val="00AA33A2"/>
    <w:rsid w:val="00AB33BB"/>
    <w:rsid w:val="00AB438A"/>
    <w:rsid w:val="00AC70CF"/>
    <w:rsid w:val="00AD78BD"/>
    <w:rsid w:val="00AE3B76"/>
    <w:rsid w:val="00AF7BAD"/>
    <w:rsid w:val="00B05140"/>
    <w:rsid w:val="00B12003"/>
    <w:rsid w:val="00B12907"/>
    <w:rsid w:val="00B15BCA"/>
    <w:rsid w:val="00B15F58"/>
    <w:rsid w:val="00B16372"/>
    <w:rsid w:val="00B20D6D"/>
    <w:rsid w:val="00B24F52"/>
    <w:rsid w:val="00B31E13"/>
    <w:rsid w:val="00B32548"/>
    <w:rsid w:val="00B3355D"/>
    <w:rsid w:val="00B33656"/>
    <w:rsid w:val="00B35BAB"/>
    <w:rsid w:val="00B40DC6"/>
    <w:rsid w:val="00B6447A"/>
    <w:rsid w:val="00B84467"/>
    <w:rsid w:val="00BB5BE7"/>
    <w:rsid w:val="00BC0D9B"/>
    <w:rsid w:val="00BC4CB3"/>
    <w:rsid w:val="00BD14F5"/>
    <w:rsid w:val="00BD2C61"/>
    <w:rsid w:val="00BD61E4"/>
    <w:rsid w:val="00BD723A"/>
    <w:rsid w:val="00BE2880"/>
    <w:rsid w:val="00BF3819"/>
    <w:rsid w:val="00C001E5"/>
    <w:rsid w:val="00C442C2"/>
    <w:rsid w:val="00C50255"/>
    <w:rsid w:val="00C51EB6"/>
    <w:rsid w:val="00C52DD1"/>
    <w:rsid w:val="00C62042"/>
    <w:rsid w:val="00C9693D"/>
    <w:rsid w:val="00CA3C2E"/>
    <w:rsid w:val="00CB1E10"/>
    <w:rsid w:val="00CB203F"/>
    <w:rsid w:val="00CB5396"/>
    <w:rsid w:val="00CB5AF2"/>
    <w:rsid w:val="00CC36FF"/>
    <w:rsid w:val="00CC4455"/>
    <w:rsid w:val="00CD40BE"/>
    <w:rsid w:val="00CD56C9"/>
    <w:rsid w:val="00CD7590"/>
    <w:rsid w:val="00CE6B81"/>
    <w:rsid w:val="00CF397D"/>
    <w:rsid w:val="00CF3B15"/>
    <w:rsid w:val="00CF4079"/>
    <w:rsid w:val="00D06271"/>
    <w:rsid w:val="00D100B8"/>
    <w:rsid w:val="00D146F1"/>
    <w:rsid w:val="00D27238"/>
    <w:rsid w:val="00D3155A"/>
    <w:rsid w:val="00D33977"/>
    <w:rsid w:val="00D42E93"/>
    <w:rsid w:val="00D47A11"/>
    <w:rsid w:val="00D567CB"/>
    <w:rsid w:val="00D7422D"/>
    <w:rsid w:val="00D8512D"/>
    <w:rsid w:val="00DC198C"/>
    <w:rsid w:val="00DD0DF8"/>
    <w:rsid w:val="00DE5382"/>
    <w:rsid w:val="00DF166C"/>
    <w:rsid w:val="00DF1B24"/>
    <w:rsid w:val="00E02BCF"/>
    <w:rsid w:val="00E13D33"/>
    <w:rsid w:val="00E157A7"/>
    <w:rsid w:val="00E16234"/>
    <w:rsid w:val="00E2057E"/>
    <w:rsid w:val="00E31348"/>
    <w:rsid w:val="00E36A75"/>
    <w:rsid w:val="00E3754A"/>
    <w:rsid w:val="00E56E13"/>
    <w:rsid w:val="00E6684B"/>
    <w:rsid w:val="00E67B05"/>
    <w:rsid w:val="00E86926"/>
    <w:rsid w:val="00E93888"/>
    <w:rsid w:val="00EA0E56"/>
    <w:rsid w:val="00EA5DEB"/>
    <w:rsid w:val="00EB319B"/>
    <w:rsid w:val="00EB3B4A"/>
    <w:rsid w:val="00EB5FA4"/>
    <w:rsid w:val="00EB6044"/>
    <w:rsid w:val="00EC3478"/>
    <w:rsid w:val="00EE467A"/>
    <w:rsid w:val="00F014C3"/>
    <w:rsid w:val="00F06265"/>
    <w:rsid w:val="00F13F0F"/>
    <w:rsid w:val="00F4090B"/>
    <w:rsid w:val="00F4616D"/>
    <w:rsid w:val="00F64E0C"/>
    <w:rsid w:val="00F65DDA"/>
    <w:rsid w:val="00F82EF7"/>
    <w:rsid w:val="00F915DB"/>
    <w:rsid w:val="00F96228"/>
    <w:rsid w:val="00FA20B7"/>
    <w:rsid w:val="00FA6E08"/>
    <w:rsid w:val="00FB0781"/>
    <w:rsid w:val="00FC2E59"/>
    <w:rsid w:val="00FC4985"/>
    <w:rsid w:val="00FE1D34"/>
    <w:rsid w:val="00FE3783"/>
    <w:rsid w:val="00FE4A76"/>
    <w:rsid w:val="00FF1D74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uiPriority w:val="59"/>
    <w:rsid w:val="00DC19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uiPriority w:val="59"/>
    <w:rsid w:val="00DC19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yer\AppData\Roaming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21</TotalTime>
  <Pages>4</Pages>
  <Words>1526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&amp; Poor's Takes Various Rating Actions On 16 Eurozone Sovereign Governments </vt:lpstr>
    </vt:vector>
  </TitlesOfParts>
  <Company>Standard &amp; Poor's</Company>
  <LinksUpToDate>false</LinksUpToDate>
  <CharactersWithSpaces>9906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&amp; Poor's Takes Various Rating Actions On 16 Eurozone Sovereign Governments </dc:title>
  <dc:creator/>
  <cp:lastModifiedBy>Soyer</cp:lastModifiedBy>
  <cp:revision>3</cp:revision>
  <dcterms:created xsi:type="dcterms:W3CDTF">2012-01-14T09:42:00Z</dcterms:created>
  <dcterms:modified xsi:type="dcterms:W3CDTF">2012-01-14T10:03:00Z</dcterms:modified>
</cp:coreProperties>
</file>